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64D2" w14:textId="3717A6C7" w:rsidR="00856DC2" w:rsidRDefault="00C57821" w:rsidP="00BC489D">
      <w:pPr>
        <w:spacing w:before="100" w:beforeAutospacing="1" w:after="0"/>
        <w:jc w:val="center"/>
        <w:rPr>
          <w:b/>
          <w:sz w:val="32"/>
        </w:rPr>
      </w:pPr>
      <w:bookmarkStart w:id="0" w:name="_Hlk522103366"/>
      <w:bookmarkStart w:id="1" w:name="OLE_LINK2"/>
      <w:r>
        <w:rPr>
          <w:b/>
          <w:noProof/>
          <w:sz w:val="32"/>
          <w:lang w:eastAsia="en-GB"/>
        </w:rPr>
        <w:drawing>
          <wp:inline distT="0" distB="0" distL="0" distR="0" wp14:anchorId="5525EF22" wp14:editId="28EA1440">
            <wp:extent cx="1314450"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inline>
        </w:drawing>
      </w:r>
      <w:bookmarkEnd w:id="0"/>
      <w:bookmarkEnd w:id="1"/>
    </w:p>
    <w:p w14:paraId="2D9081B7" w14:textId="77777777" w:rsidR="00856DC2" w:rsidRPr="00DA7BF3" w:rsidRDefault="00856DC2" w:rsidP="00856DC2">
      <w:pPr>
        <w:spacing w:before="960"/>
        <w:jc w:val="center"/>
        <w:rPr>
          <w:sz w:val="32"/>
        </w:rPr>
      </w:pPr>
      <w:r w:rsidRPr="00807DAF">
        <w:rPr>
          <w:b/>
          <w:sz w:val="32"/>
        </w:rPr>
        <w:t>Contracting Authority</w:t>
      </w:r>
      <w:r w:rsidRPr="00807DAF">
        <w:rPr>
          <w:sz w:val="32"/>
        </w:rPr>
        <w:t xml:space="preserve">: </w:t>
      </w:r>
      <w:r>
        <w:rPr>
          <w:sz w:val="32"/>
        </w:rPr>
        <w:t>European Commission</w:t>
      </w:r>
    </w:p>
    <w:p w14:paraId="1BCD1084" w14:textId="10AD8308" w:rsidR="00856DC2" w:rsidRDefault="009E10DF" w:rsidP="00856DC2">
      <w:pPr>
        <w:pStyle w:val="Titel"/>
        <w:spacing w:before="600"/>
        <w:outlineLvl w:val="0"/>
        <w:rPr>
          <w:b w:val="0"/>
          <w:sz w:val="32"/>
          <w:szCs w:val="32"/>
        </w:rPr>
      </w:pPr>
      <w:r w:rsidRPr="003B72BE">
        <w:rPr>
          <w:b w:val="0"/>
          <w:sz w:val="32"/>
          <w:szCs w:val="32"/>
        </w:rPr>
        <w:t xml:space="preserve">Support </w:t>
      </w:r>
      <w:r w:rsidR="008C3BF7">
        <w:rPr>
          <w:b w:val="0"/>
          <w:sz w:val="32"/>
          <w:szCs w:val="32"/>
        </w:rPr>
        <w:t>for</w:t>
      </w:r>
      <w:r w:rsidRPr="003B72BE">
        <w:rPr>
          <w:b w:val="0"/>
          <w:sz w:val="32"/>
          <w:szCs w:val="32"/>
        </w:rPr>
        <w:t xml:space="preserve"> Civil Society Organisations in the Republic of Moldova </w:t>
      </w:r>
      <w:r>
        <w:rPr>
          <w:b w:val="0"/>
          <w:sz w:val="32"/>
          <w:szCs w:val="32"/>
        </w:rPr>
        <w:t>in 2025</w:t>
      </w:r>
    </w:p>
    <w:p w14:paraId="24FF52EC" w14:textId="77777777" w:rsidR="00856DC2" w:rsidRPr="00914130" w:rsidRDefault="00856DC2" w:rsidP="00856DC2">
      <w:pPr>
        <w:pStyle w:val="SubTitle1"/>
        <w:spacing w:before="480"/>
        <w:rPr>
          <w:sz w:val="32"/>
          <w:szCs w:val="32"/>
        </w:rPr>
      </w:pPr>
      <w:r w:rsidRPr="00914130">
        <w:rPr>
          <w:sz w:val="32"/>
          <w:szCs w:val="32"/>
        </w:rPr>
        <w:t>Guidelines for grant</w:t>
      </w:r>
      <w:r>
        <w:rPr>
          <w:sz w:val="32"/>
          <w:szCs w:val="32"/>
        </w:rPr>
        <w:t xml:space="preserve"> </w:t>
      </w:r>
      <w:r w:rsidRPr="00914130">
        <w:rPr>
          <w:sz w:val="32"/>
          <w:szCs w:val="32"/>
        </w:rPr>
        <w:t>applicants</w:t>
      </w:r>
    </w:p>
    <w:p w14:paraId="721CFFB3" w14:textId="77777777" w:rsidR="00856DC2" w:rsidRPr="00B965AB" w:rsidRDefault="009E10DF" w:rsidP="00856DC2">
      <w:pPr>
        <w:jc w:val="center"/>
        <w:rPr>
          <w:sz w:val="32"/>
          <w:szCs w:val="32"/>
        </w:rPr>
      </w:pPr>
      <w:r w:rsidRPr="009E10DF">
        <w:rPr>
          <w:sz w:val="32"/>
          <w:szCs w:val="32"/>
        </w:rPr>
        <w:t>Budget line: BGUE-B2024-14.020111-C1-NEAR</w:t>
      </w:r>
    </w:p>
    <w:p w14:paraId="5D8A594E" w14:textId="77777777" w:rsidR="00856DC2" w:rsidRPr="00B965AB" w:rsidRDefault="00856DC2" w:rsidP="00856DC2">
      <w:pPr>
        <w:pStyle w:val="SubTitle2"/>
        <w:rPr>
          <w:b w:val="0"/>
          <w:noProof/>
          <w:szCs w:val="32"/>
        </w:rPr>
      </w:pPr>
      <w:r w:rsidRPr="00B965AB">
        <w:rPr>
          <w:b w:val="0"/>
          <w:szCs w:val="32"/>
        </w:rPr>
        <w:t>Reference:</w:t>
      </w:r>
      <w:r w:rsidRPr="00B965AB">
        <w:rPr>
          <w:b w:val="0"/>
          <w:szCs w:val="32"/>
        </w:rPr>
        <w:br/>
        <w:t>EuropeAid/</w:t>
      </w:r>
      <w:r w:rsidRPr="00B965AB">
        <w:rPr>
          <w:b w:val="0"/>
          <w:noProof/>
          <w:szCs w:val="32"/>
        </w:rPr>
        <w:t>183610</w:t>
      </w:r>
      <w:r w:rsidRPr="00B965AB">
        <w:rPr>
          <w:b w:val="0"/>
          <w:szCs w:val="32"/>
        </w:rPr>
        <w:t>/</w:t>
      </w:r>
      <w:r w:rsidR="009E10DF">
        <w:rPr>
          <w:b w:val="0"/>
          <w:noProof/>
          <w:szCs w:val="32"/>
        </w:rPr>
        <w:t>DD/ACT/MD</w:t>
      </w:r>
    </w:p>
    <w:p w14:paraId="1F90F91A" w14:textId="77777777" w:rsidR="00856DC2" w:rsidRDefault="00856DC2" w:rsidP="00856DC2">
      <w:pPr>
        <w:pStyle w:val="SubTitle2"/>
        <w:spacing w:after="120"/>
        <w:rPr>
          <w:b w:val="0"/>
          <w:noProof/>
          <w:szCs w:val="32"/>
        </w:rPr>
      </w:pPr>
      <w:r w:rsidRPr="00B965AB">
        <w:rPr>
          <w:b w:val="0"/>
          <w:noProof/>
          <w:szCs w:val="32"/>
        </w:rPr>
        <w:t>Deadline for submission</w:t>
      </w:r>
      <w:r w:rsidRPr="00B965AB">
        <w:rPr>
          <w:rStyle w:val="Funotenzeichen"/>
          <w:b w:val="0"/>
          <w:szCs w:val="32"/>
        </w:rPr>
        <w:footnoteReference w:id="2"/>
      </w:r>
      <w:r w:rsidRPr="00B965AB">
        <w:rPr>
          <w:b w:val="0"/>
          <w:noProof/>
          <w:szCs w:val="32"/>
        </w:rPr>
        <w:t xml:space="preserve"> of </w:t>
      </w:r>
      <w:r>
        <w:rPr>
          <w:b w:val="0"/>
          <w:noProof/>
          <w:szCs w:val="32"/>
        </w:rPr>
        <w:t>c</w:t>
      </w:r>
      <w:r w:rsidRPr="00B965AB">
        <w:rPr>
          <w:b w:val="0"/>
          <w:noProof/>
          <w:szCs w:val="32"/>
        </w:rPr>
        <w:t xml:space="preserve">oncept </w:t>
      </w:r>
      <w:r>
        <w:rPr>
          <w:b w:val="0"/>
          <w:noProof/>
          <w:szCs w:val="32"/>
        </w:rPr>
        <w:t>n</w:t>
      </w:r>
      <w:r w:rsidRPr="00B965AB">
        <w:rPr>
          <w:b w:val="0"/>
          <w:noProof/>
          <w:szCs w:val="32"/>
        </w:rPr>
        <w:t>ote</w:t>
      </w:r>
      <w:r>
        <w:rPr>
          <w:b w:val="0"/>
          <w:noProof/>
          <w:szCs w:val="32"/>
        </w:rPr>
        <w:t>s</w:t>
      </w:r>
      <w:r w:rsidRPr="00B965AB">
        <w:rPr>
          <w:b w:val="0"/>
          <w:noProof/>
          <w:szCs w:val="32"/>
        </w:rPr>
        <w:t>:</w:t>
      </w:r>
    </w:p>
    <w:p w14:paraId="17B12647" w14:textId="77777777" w:rsidR="00856DC2" w:rsidRPr="00B965AB" w:rsidRDefault="00856DC2" w:rsidP="00856DC2">
      <w:pPr>
        <w:pStyle w:val="SubTitle2"/>
        <w:spacing w:after="120"/>
        <w:rPr>
          <w:b w:val="0"/>
          <w:noProof/>
          <w:szCs w:val="32"/>
        </w:rPr>
      </w:pPr>
    </w:p>
    <w:p w14:paraId="02161E61" w14:textId="18E4B3C5" w:rsidR="00856DC2" w:rsidRPr="008D1F59" w:rsidRDefault="00687852" w:rsidP="00856DC2">
      <w:pPr>
        <w:pStyle w:val="SubTitle2"/>
        <w:rPr>
          <w:noProof/>
          <w:szCs w:val="32"/>
        </w:rPr>
      </w:pPr>
      <w:r w:rsidRPr="00B522D3">
        <w:rPr>
          <w:noProof/>
          <w:szCs w:val="32"/>
        </w:rPr>
        <w:t>0</w:t>
      </w:r>
      <w:r w:rsidR="00DD4C0B" w:rsidRPr="00B522D3">
        <w:rPr>
          <w:noProof/>
          <w:szCs w:val="32"/>
        </w:rPr>
        <w:t>5</w:t>
      </w:r>
      <w:r w:rsidR="00856DC2" w:rsidRPr="00B522D3">
        <w:rPr>
          <w:noProof/>
          <w:szCs w:val="32"/>
        </w:rPr>
        <w:t>/</w:t>
      </w:r>
      <w:r w:rsidRPr="00B522D3">
        <w:rPr>
          <w:noProof/>
          <w:szCs w:val="32"/>
        </w:rPr>
        <w:t>05</w:t>
      </w:r>
      <w:r w:rsidR="00856DC2" w:rsidRPr="00B522D3">
        <w:rPr>
          <w:noProof/>
          <w:szCs w:val="32"/>
        </w:rPr>
        <w:t>/2025</w:t>
      </w:r>
      <w:r w:rsidR="00856DC2" w:rsidRPr="008D1F59">
        <w:rPr>
          <w:noProof/>
          <w:szCs w:val="32"/>
        </w:rPr>
        <w:t xml:space="preserve"> at 12:00 (Brussels date and time)</w:t>
      </w:r>
    </w:p>
    <w:p w14:paraId="259825A3" w14:textId="77777777" w:rsidR="00856DC2" w:rsidRPr="003C3B20" w:rsidRDefault="00856DC2" w:rsidP="00856DC2">
      <w:pPr>
        <w:pStyle w:val="SubTitle2"/>
        <w:rPr>
          <w:sz w:val="24"/>
          <w:szCs w:val="24"/>
        </w:rPr>
      </w:pPr>
      <w:r w:rsidRPr="003C3B20">
        <w:rPr>
          <w:b w:val="0"/>
          <w:sz w:val="24"/>
          <w:szCs w:val="24"/>
        </w:rPr>
        <w:t>(</w:t>
      </w:r>
      <w:proofErr w:type="gramStart"/>
      <w:r w:rsidRPr="003C3B20">
        <w:rPr>
          <w:b w:val="0"/>
          <w:sz w:val="24"/>
          <w:szCs w:val="24"/>
        </w:rPr>
        <w:t>in</w:t>
      </w:r>
      <w:proofErr w:type="gramEnd"/>
      <w:r w:rsidRPr="003C3B20">
        <w:rPr>
          <w:b w:val="0"/>
          <w:sz w:val="24"/>
          <w:szCs w:val="24"/>
        </w:rPr>
        <w:t xml:space="preserve"> order to convert to local time click </w:t>
      </w:r>
      <w:hyperlink r:id="rId9" w:history="1">
        <w:r w:rsidRPr="003C3B20">
          <w:rPr>
            <w:rStyle w:val="Hyperlink"/>
            <w:sz w:val="24"/>
            <w:szCs w:val="24"/>
          </w:rPr>
          <w:t>here</w:t>
        </w:r>
      </w:hyperlink>
      <w:r w:rsidRPr="003C3B20">
        <w:rPr>
          <w:rStyle w:val="Funotenzeichen"/>
          <w:szCs w:val="24"/>
        </w:rPr>
        <w:footnoteReference w:id="3"/>
      </w:r>
      <w:r w:rsidRPr="003C3B20">
        <w:rPr>
          <w:sz w:val="24"/>
          <w:szCs w:val="24"/>
        </w:rPr>
        <w:t>)</w:t>
      </w:r>
    </w:p>
    <w:p w14:paraId="58E8B31C" w14:textId="77777777" w:rsidR="007857D2" w:rsidRPr="00EE4E75" w:rsidRDefault="003E79BB" w:rsidP="00EE4E75">
      <w:pPr>
        <w:pStyle w:val="SubTitle1"/>
        <w:rPr>
          <w:sz w:val="32"/>
          <w:szCs w:val="32"/>
        </w:rPr>
      </w:pPr>
      <w:r>
        <w:rPr>
          <w:sz w:val="32"/>
          <w:szCs w:val="32"/>
        </w:rPr>
        <w:br w:type="page"/>
      </w:r>
      <w:r w:rsidR="007857D2" w:rsidRPr="00807DAF">
        <w:rPr>
          <w:sz w:val="32"/>
          <w:szCs w:val="32"/>
        </w:rPr>
        <w:lastRenderedPageBreak/>
        <w:t>NOTICE</w:t>
      </w:r>
    </w:p>
    <w:p w14:paraId="722C224B" w14:textId="77777777" w:rsidR="0052492E" w:rsidRPr="00807DAF" w:rsidRDefault="0052492E" w:rsidP="0052492E">
      <w:pPr>
        <w:pStyle w:val="SubTitle2"/>
      </w:pPr>
    </w:p>
    <w:p w14:paraId="222C9162" w14:textId="77777777" w:rsidR="0052492E" w:rsidRPr="00807DAF" w:rsidRDefault="0052492E" w:rsidP="0052492E">
      <w:pPr>
        <w:pStyle w:val="Untertitel"/>
        <w:spacing w:after="240"/>
        <w:jc w:val="both"/>
        <w:rPr>
          <w:rFonts w:ascii="Times New Roman" w:hAnsi="Times New Roman"/>
          <w:b w:val="0"/>
          <w:sz w:val="22"/>
          <w:szCs w:val="22"/>
          <w:lang w:val="en-GB"/>
        </w:rPr>
      </w:pPr>
      <w:r w:rsidRPr="00EE4E75">
        <w:rPr>
          <w:rFonts w:ascii="Times New Roman" w:hAnsi="Times New Roman"/>
          <w:b w:val="0"/>
          <w:sz w:val="22"/>
          <w:szCs w:val="22"/>
          <w:lang w:val="en-GB"/>
        </w:rPr>
        <w:t xml:space="preserve">This is a restricted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all for </w:t>
      </w:r>
      <w:r w:rsidR="00D84C87" w:rsidRPr="00EE4E75">
        <w:rPr>
          <w:rFonts w:ascii="Times New Roman" w:hAnsi="Times New Roman"/>
          <w:b w:val="0"/>
          <w:sz w:val="22"/>
          <w:szCs w:val="22"/>
          <w:lang w:val="en-GB"/>
        </w:rPr>
        <w:t>p</w:t>
      </w:r>
      <w:r w:rsidRPr="00EE4E75">
        <w:rPr>
          <w:rFonts w:ascii="Times New Roman" w:hAnsi="Times New Roman"/>
          <w:b w:val="0"/>
          <w:sz w:val="22"/>
          <w:szCs w:val="22"/>
          <w:lang w:val="en-GB"/>
        </w:rPr>
        <w:t xml:space="preserve">roposals. In the first instance, only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oncept </w:t>
      </w:r>
      <w:r w:rsidR="00D84C87" w:rsidRPr="00EE4E75">
        <w:rPr>
          <w:rFonts w:ascii="Times New Roman" w:hAnsi="Times New Roman"/>
          <w:b w:val="0"/>
          <w:sz w:val="22"/>
          <w:szCs w:val="22"/>
          <w:lang w:val="en-GB"/>
        </w:rPr>
        <w:t>n</w:t>
      </w:r>
      <w:r w:rsidRPr="00EE4E75">
        <w:rPr>
          <w:rFonts w:ascii="Times New Roman" w:hAnsi="Times New Roman"/>
          <w:b w:val="0"/>
          <w:sz w:val="22"/>
          <w:szCs w:val="22"/>
          <w:lang w:val="en-GB"/>
        </w:rPr>
        <w:t xml:space="preserve">otes </w:t>
      </w:r>
      <w:r w:rsidR="0031666A" w:rsidRPr="00EE4E75">
        <w:rPr>
          <w:rFonts w:ascii="Times New Roman" w:hAnsi="Times New Roman"/>
          <w:b w:val="0"/>
          <w:sz w:val="22"/>
          <w:szCs w:val="22"/>
          <w:lang w:val="en-GB"/>
        </w:rPr>
        <w:t>(</w:t>
      </w:r>
      <w:r w:rsidR="007879E3">
        <w:rPr>
          <w:rFonts w:ascii="Times New Roman" w:hAnsi="Times New Roman"/>
          <w:b w:val="0"/>
          <w:sz w:val="22"/>
          <w:szCs w:val="22"/>
          <w:lang w:val="en-GB"/>
        </w:rPr>
        <w:t>Annex</w:t>
      </w:r>
      <w:r w:rsidR="0031666A" w:rsidRPr="00EE4E75">
        <w:rPr>
          <w:rFonts w:ascii="Times New Roman" w:hAnsi="Times New Roman"/>
          <w:b w:val="0"/>
          <w:sz w:val="22"/>
          <w:szCs w:val="22"/>
          <w:lang w:val="en-GB"/>
        </w:rPr>
        <w:t xml:space="preserve"> A</w:t>
      </w:r>
      <w:r w:rsidR="007879E3">
        <w:rPr>
          <w:rFonts w:ascii="Times New Roman" w:hAnsi="Times New Roman"/>
          <w:b w:val="0"/>
          <w:sz w:val="22"/>
          <w:szCs w:val="22"/>
          <w:lang w:val="en-GB"/>
        </w:rPr>
        <w:t>.1</w:t>
      </w:r>
      <w:r w:rsidR="00B37A33" w:rsidRPr="00B37A33">
        <w:rPr>
          <w:rFonts w:ascii="Times New Roman" w:hAnsi="Times New Roman"/>
          <w:b w:val="0"/>
          <w:sz w:val="22"/>
          <w:szCs w:val="22"/>
          <w:lang w:val="en-GB"/>
        </w:rPr>
        <w:t xml:space="preserve"> – Grant application form - Concept note</w:t>
      </w:r>
      <w:r w:rsidR="0031666A" w:rsidRPr="00EE4E75">
        <w:rPr>
          <w:rFonts w:ascii="Times New Roman" w:hAnsi="Times New Roman"/>
          <w:b w:val="0"/>
          <w:sz w:val="22"/>
          <w:szCs w:val="22"/>
          <w:lang w:val="en-GB"/>
        </w:rPr>
        <w:t xml:space="preserve">) </w:t>
      </w:r>
      <w:r w:rsidRPr="00EE4E75">
        <w:rPr>
          <w:rFonts w:ascii="Times New Roman" w:hAnsi="Times New Roman"/>
          <w:b w:val="0"/>
          <w:sz w:val="22"/>
          <w:szCs w:val="22"/>
          <w:lang w:val="en-GB"/>
        </w:rPr>
        <w:t xml:space="preserve">must be submitted for evaluation. Thereafter, </w:t>
      </w:r>
      <w:r w:rsidR="00ED0176" w:rsidRPr="00EE4E75">
        <w:rPr>
          <w:rFonts w:ascii="Times New Roman" w:hAnsi="Times New Roman"/>
          <w:b w:val="0"/>
          <w:sz w:val="22"/>
          <w:szCs w:val="22"/>
          <w:lang w:val="en-GB"/>
        </w:rPr>
        <w:t>lead a</w:t>
      </w:r>
      <w:r w:rsidRPr="00EE4E75">
        <w:rPr>
          <w:rFonts w:ascii="Times New Roman" w:hAnsi="Times New Roman"/>
          <w:b w:val="0"/>
          <w:sz w:val="22"/>
          <w:szCs w:val="22"/>
          <w:lang w:val="en-GB"/>
        </w:rPr>
        <w:t xml:space="preserve">pplicants who have been pre-selected will be invited to submit a </w:t>
      </w:r>
      <w:r w:rsidR="00D84C87" w:rsidRPr="00EE4E75">
        <w:rPr>
          <w:rFonts w:ascii="Times New Roman" w:hAnsi="Times New Roman"/>
          <w:b w:val="0"/>
          <w:sz w:val="22"/>
          <w:szCs w:val="22"/>
          <w:lang w:val="en-GB"/>
        </w:rPr>
        <w:t>f</w:t>
      </w:r>
      <w:r w:rsidRPr="00EE4E75">
        <w:rPr>
          <w:rFonts w:ascii="Times New Roman" w:hAnsi="Times New Roman"/>
          <w:b w:val="0"/>
          <w:sz w:val="22"/>
          <w:szCs w:val="22"/>
          <w:lang w:val="en-GB"/>
        </w:rPr>
        <w:t xml:space="preserve">ull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pplication</w:t>
      </w:r>
      <w:r w:rsidR="00B37A33">
        <w:rPr>
          <w:rFonts w:ascii="Times New Roman" w:hAnsi="Times New Roman"/>
          <w:b w:val="0"/>
          <w:sz w:val="22"/>
          <w:szCs w:val="22"/>
          <w:lang w:val="en-GB"/>
        </w:rPr>
        <w:t xml:space="preserve"> (</w:t>
      </w:r>
      <w:r w:rsidR="00B37A33" w:rsidRPr="00B37A33">
        <w:rPr>
          <w:rFonts w:ascii="Times New Roman" w:hAnsi="Times New Roman"/>
          <w:b w:val="0"/>
          <w:sz w:val="22"/>
          <w:szCs w:val="22"/>
          <w:lang w:val="en-GB"/>
        </w:rPr>
        <w:t>Annex A.2 – Grant application form – Full application</w:t>
      </w:r>
      <w:r w:rsidR="00B37A33">
        <w:rPr>
          <w:rFonts w:ascii="Times New Roman" w:hAnsi="Times New Roman"/>
          <w:b w:val="0"/>
          <w:sz w:val="22"/>
          <w:szCs w:val="22"/>
          <w:lang w:val="en-GB"/>
        </w:rPr>
        <w:t>)</w:t>
      </w:r>
      <w:r w:rsidRPr="00EE4E75">
        <w:rPr>
          <w:rFonts w:ascii="Times New Roman" w:hAnsi="Times New Roman"/>
          <w:b w:val="0"/>
          <w:sz w:val="22"/>
          <w:szCs w:val="22"/>
          <w:lang w:val="en-GB"/>
        </w:rPr>
        <w:t xml:space="preserve">. </w:t>
      </w:r>
      <w:r w:rsidR="00D830C7" w:rsidRPr="00EE4E75">
        <w:rPr>
          <w:rFonts w:ascii="Times New Roman" w:hAnsi="Times New Roman"/>
          <w:b w:val="0"/>
          <w:sz w:val="22"/>
          <w:szCs w:val="22"/>
          <w:lang w:val="en-GB"/>
        </w:rPr>
        <w:t>After</w:t>
      </w:r>
      <w:r w:rsidRPr="00EE4E75">
        <w:rPr>
          <w:rFonts w:ascii="Times New Roman" w:hAnsi="Times New Roman"/>
          <w:b w:val="0"/>
          <w:sz w:val="22"/>
          <w:szCs w:val="22"/>
          <w:lang w:val="en-GB"/>
        </w:rPr>
        <w:t xml:space="preserve"> the evaluation of the </w:t>
      </w:r>
      <w:r w:rsidR="00D84C87" w:rsidRPr="00EE4E75">
        <w:rPr>
          <w:rFonts w:ascii="Times New Roman" w:hAnsi="Times New Roman"/>
          <w:b w:val="0"/>
          <w:sz w:val="22"/>
          <w:szCs w:val="22"/>
          <w:lang w:val="en-GB"/>
        </w:rPr>
        <w:t>f</w:t>
      </w:r>
      <w:r w:rsidRPr="00EE4E75">
        <w:rPr>
          <w:rFonts w:ascii="Times New Roman" w:hAnsi="Times New Roman"/>
          <w:b w:val="0"/>
          <w:sz w:val="22"/>
          <w:szCs w:val="22"/>
          <w:lang w:val="en-GB"/>
        </w:rPr>
        <w:t xml:space="preserve">ull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 xml:space="preserve">pplications, an eligibility check will be performed for those which </w:t>
      </w:r>
      <w:r w:rsidR="00D830C7" w:rsidRPr="00EE4E75">
        <w:rPr>
          <w:rFonts w:ascii="Times New Roman" w:hAnsi="Times New Roman"/>
          <w:b w:val="0"/>
          <w:sz w:val="22"/>
          <w:szCs w:val="22"/>
          <w:lang w:val="en-GB"/>
        </w:rPr>
        <w:t xml:space="preserve">have been </w:t>
      </w:r>
      <w:r w:rsidRPr="00EE4E75">
        <w:rPr>
          <w:rFonts w:ascii="Times New Roman" w:hAnsi="Times New Roman"/>
          <w:b w:val="0"/>
          <w:sz w:val="22"/>
          <w:szCs w:val="22"/>
          <w:lang w:val="en-GB"/>
        </w:rPr>
        <w:t>provisionally selected</w:t>
      </w:r>
      <w:r w:rsidR="00524D59">
        <w:rPr>
          <w:rFonts w:ascii="Times New Roman" w:hAnsi="Times New Roman"/>
          <w:b w:val="0"/>
          <w:sz w:val="22"/>
          <w:szCs w:val="22"/>
          <w:lang w:val="en-GB"/>
        </w:rPr>
        <w:t xml:space="preserve"> </w:t>
      </w:r>
      <w:bookmarkStart w:id="2" w:name="_Hlk164323756"/>
      <w:r w:rsidR="00524D59">
        <w:rPr>
          <w:rFonts w:ascii="Times New Roman" w:hAnsi="Times New Roman"/>
          <w:b w:val="0"/>
          <w:sz w:val="22"/>
          <w:szCs w:val="22"/>
          <w:lang w:val="en-GB"/>
        </w:rPr>
        <w:t>(including those placed on the reserve list)</w:t>
      </w:r>
      <w:bookmarkEnd w:id="2"/>
      <w:r w:rsidRPr="00EE4E75">
        <w:rPr>
          <w:rFonts w:ascii="Times New Roman" w:hAnsi="Times New Roman"/>
          <w:b w:val="0"/>
          <w:sz w:val="22"/>
          <w:szCs w:val="22"/>
          <w:lang w:val="en-GB"/>
        </w:rPr>
        <w:t xml:space="preserve">. </w:t>
      </w:r>
      <w:r w:rsidR="001D2826" w:rsidRPr="00EE4E75">
        <w:rPr>
          <w:rFonts w:ascii="Times New Roman" w:hAnsi="Times New Roman"/>
          <w:b w:val="0"/>
          <w:sz w:val="22"/>
          <w:szCs w:val="22"/>
          <w:lang w:val="en-GB"/>
        </w:rPr>
        <w:t>Eligibility</w:t>
      </w:r>
      <w:r w:rsidRPr="00EE4E75">
        <w:rPr>
          <w:rFonts w:ascii="Times New Roman" w:hAnsi="Times New Roman"/>
          <w:b w:val="0"/>
          <w:sz w:val="22"/>
          <w:szCs w:val="22"/>
          <w:lang w:val="en-GB"/>
        </w:rPr>
        <w:t xml:space="preserve"> will be </w:t>
      </w:r>
      <w:r w:rsidR="001D2826" w:rsidRPr="00EE4E75">
        <w:rPr>
          <w:rFonts w:ascii="Times New Roman" w:hAnsi="Times New Roman"/>
          <w:b w:val="0"/>
          <w:sz w:val="22"/>
          <w:szCs w:val="22"/>
          <w:lang w:val="en-GB"/>
        </w:rPr>
        <w:t xml:space="preserve">checked </w:t>
      </w:r>
      <w:r w:rsidRPr="00EE4E75">
        <w:rPr>
          <w:rFonts w:ascii="Times New Roman" w:hAnsi="Times New Roman"/>
          <w:b w:val="0"/>
          <w:sz w:val="22"/>
          <w:szCs w:val="22"/>
          <w:lang w:val="en-GB"/>
        </w:rPr>
        <w:t xml:space="preserve">on the basis of the supporting documents requested by the </w:t>
      </w:r>
      <w:r w:rsidR="00D84C87" w:rsidRPr="00EE4E75">
        <w:rPr>
          <w:rFonts w:ascii="Times New Roman" w:hAnsi="Times New Roman"/>
          <w:b w:val="0"/>
          <w:sz w:val="22"/>
          <w:szCs w:val="22"/>
          <w:lang w:val="en-GB"/>
        </w:rPr>
        <w:t>c</w:t>
      </w:r>
      <w:r w:rsidRPr="00EE4E75">
        <w:rPr>
          <w:rFonts w:ascii="Times New Roman" w:hAnsi="Times New Roman"/>
          <w:b w:val="0"/>
          <w:sz w:val="22"/>
          <w:szCs w:val="22"/>
          <w:lang w:val="en-GB"/>
        </w:rPr>
        <w:t xml:space="preserve">ontracting </w:t>
      </w:r>
      <w:r w:rsidR="00D84C87" w:rsidRPr="00EE4E75">
        <w:rPr>
          <w:rFonts w:ascii="Times New Roman" w:hAnsi="Times New Roman"/>
          <w:b w:val="0"/>
          <w:sz w:val="22"/>
          <w:szCs w:val="22"/>
          <w:lang w:val="en-GB"/>
        </w:rPr>
        <w:t>a</w:t>
      </w:r>
      <w:r w:rsidRPr="00EE4E75">
        <w:rPr>
          <w:rFonts w:ascii="Times New Roman" w:hAnsi="Times New Roman"/>
          <w:b w:val="0"/>
          <w:sz w:val="22"/>
          <w:szCs w:val="22"/>
          <w:lang w:val="en-GB"/>
        </w:rPr>
        <w:t>uthority</w:t>
      </w:r>
      <w:r w:rsidR="009D29CA" w:rsidRPr="00EE4E75">
        <w:rPr>
          <w:rFonts w:ascii="Times New Roman" w:hAnsi="Times New Roman"/>
          <w:b w:val="0"/>
          <w:sz w:val="22"/>
          <w:szCs w:val="22"/>
          <w:lang w:val="en-GB"/>
        </w:rPr>
        <w:t xml:space="preserve"> and</w:t>
      </w:r>
      <w:r w:rsidRPr="00EE4E75">
        <w:rPr>
          <w:rFonts w:ascii="Times New Roman" w:hAnsi="Times New Roman"/>
          <w:b w:val="0"/>
          <w:sz w:val="22"/>
          <w:szCs w:val="22"/>
          <w:lang w:val="en-GB"/>
        </w:rPr>
        <w:t xml:space="preserve"> the signed </w:t>
      </w:r>
      <w:r w:rsidR="00A016F9" w:rsidRPr="00EE4E75">
        <w:rPr>
          <w:rFonts w:ascii="Times New Roman" w:hAnsi="Times New Roman"/>
          <w:b w:val="0"/>
          <w:sz w:val="22"/>
          <w:szCs w:val="22"/>
          <w:lang w:val="en-GB"/>
        </w:rPr>
        <w:t>‘</w:t>
      </w:r>
      <w:r w:rsidR="00D84C87" w:rsidRPr="00EE4E75">
        <w:rPr>
          <w:rFonts w:ascii="Times New Roman" w:hAnsi="Times New Roman"/>
          <w:b w:val="0"/>
          <w:sz w:val="22"/>
          <w:szCs w:val="22"/>
          <w:lang w:val="en-GB"/>
        </w:rPr>
        <w:t>d</w:t>
      </w:r>
      <w:r w:rsidRPr="00EE4E75">
        <w:rPr>
          <w:rFonts w:ascii="Times New Roman" w:hAnsi="Times New Roman"/>
          <w:b w:val="0"/>
          <w:sz w:val="22"/>
          <w:szCs w:val="22"/>
          <w:lang w:val="en-GB"/>
        </w:rPr>
        <w:t xml:space="preserve">eclaration by the </w:t>
      </w:r>
      <w:r w:rsidR="00ED0176" w:rsidRPr="00EE4E75">
        <w:rPr>
          <w:rFonts w:ascii="Times New Roman" w:hAnsi="Times New Roman"/>
          <w:b w:val="0"/>
          <w:sz w:val="22"/>
          <w:szCs w:val="22"/>
          <w:lang w:val="en-GB"/>
        </w:rPr>
        <w:t>lead a</w:t>
      </w:r>
      <w:r w:rsidRPr="00EE4E75">
        <w:rPr>
          <w:rFonts w:ascii="Times New Roman" w:hAnsi="Times New Roman"/>
          <w:b w:val="0"/>
          <w:sz w:val="22"/>
          <w:szCs w:val="22"/>
          <w:lang w:val="en-GB"/>
        </w:rPr>
        <w:t>pplicant</w:t>
      </w:r>
      <w:r w:rsidR="00A016F9" w:rsidRPr="00EE4E75">
        <w:rPr>
          <w:rFonts w:ascii="Times New Roman" w:hAnsi="Times New Roman"/>
          <w:b w:val="0"/>
          <w:sz w:val="22"/>
          <w:szCs w:val="22"/>
          <w:lang w:val="en-GB"/>
        </w:rPr>
        <w:t>’</w:t>
      </w:r>
      <w:r w:rsidRPr="00EE4E75">
        <w:rPr>
          <w:rFonts w:ascii="Times New Roman" w:hAnsi="Times New Roman"/>
          <w:b w:val="0"/>
          <w:sz w:val="22"/>
          <w:szCs w:val="22"/>
          <w:lang w:val="en-GB"/>
        </w:rPr>
        <w:t xml:space="preserve"> sent together with the </w:t>
      </w:r>
      <w:r w:rsidR="000F59A0" w:rsidRPr="00EE4E75">
        <w:rPr>
          <w:rFonts w:ascii="Times New Roman" w:hAnsi="Times New Roman"/>
          <w:b w:val="0"/>
          <w:sz w:val="22"/>
          <w:szCs w:val="22"/>
          <w:lang w:val="en-GB"/>
        </w:rPr>
        <w:t xml:space="preserve">full </w:t>
      </w:r>
      <w:r w:rsidR="00EE4E75" w:rsidRPr="00EE4E75">
        <w:rPr>
          <w:rFonts w:ascii="Times New Roman" w:hAnsi="Times New Roman"/>
          <w:b w:val="0"/>
          <w:sz w:val="22"/>
          <w:szCs w:val="22"/>
          <w:lang w:val="en-GB"/>
        </w:rPr>
        <w:t>application</w:t>
      </w:r>
      <w:r w:rsidR="00EE4E75" w:rsidRPr="00BA6979">
        <w:rPr>
          <w:rFonts w:ascii="Times New Roman" w:hAnsi="Times New Roman"/>
          <w:b w:val="0"/>
          <w:sz w:val="22"/>
          <w:szCs w:val="22"/>
          <w:lang w:val="en-GB"/>
        </w:rPr>
        <w:t>.</w:t>
      </w:r>
    </w:p>
    <w:p w14:paraId="22D21314" w14:textId="77777777" w:rsidR="00DE156A" w:rsidRPr="001B7D50" w:rsidRDefault="00DE156A" w:rsidP="001B7D50">
      <w:pPr>
        <w:pStyle w:val="Normal-box"/>
        <w:jc w:val="center"/>
        <w:rPr>
          <w:b/>
          <w:bCs w:val="0"/>
          <w:snapToGrid w:val="0"/>
          <w:lang w:val="en-IE"/>
        </w:rPr>
      </w:pPr>
      <w:r w:rsidRPr="003A53D3">
        <w:rPr>
          <w:b/>
          <w:bCs w:val="0"/>
          <w:lang w:val="en-GB"/>
        </w:rPr>
        <w:t>Online submission via PROSPECT</w:t>
      </w:r>
    </w:p>
    <w:p w14:paraId="70329BC3" w14:textId="77777777" w:rsidR="00EE4E75" w:rsidRPr="00BE543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Pr>
          <w:b/>
          <w:snapToGrid w:val="0"/>
          <w:color w:val="auto"/>
          <w:sz w:val="22"/>
          <w:szCs w:val="20"/>
          <w:lang w:eastAsia="en-US"/>
        </w:rPr>
        <w:t>To apply to t</w:t>
      </w:r>
      <w:r w:rsidRPr="00BE543A">
        <w:rPr>
          <w:b/>
          <w:snapToGrid w:val="0"/>
          <w:color w:val="auto"/>
          <w:sz w:val="22"/>
          <w:szCs w:val="20"/>
          <w:lang w:eastAsia="en-US"/>
        </w:rPr>
        <w:t xml:space="preserve">his </w:t>
      </w:r>
      <w:r>
        <w:rPr>
          <w:b/>
          <w:snapToGrid w:val="0"/>
          <w:color w:val="auto"/>
          <w:sz w:val="22"/>
          <w:szCs w:val="20"/>
          <w:lang w:eastAsia="en-US"/>
        </w:rPr>
        <w:t>c</w:t>
      </w:r>
      <w:r w:rsidRPr="00BE543A">
        <w:rPr>
          <w:b/>
          <w:snapToGrid w:val="0"/>
          <w:color w:val="auto"/>
          <w:sz w:val="22"/>
          <w:szCs w:val="20"/>
          <w:lang w:eastAsia="en-US"/>
        </w:rPr>
        <w:t>all</w:t>
      </w:r>
      <w:r>
        <w:rPr>
          <w:b/>
          <w:snapToGrid w:val="0"/>
          <w:color w:val="auto"/>
          <w:sz w:val="22"/>
          <w:szCs w:val="20"/>
          <w:lang w:eastAsia="en-US"/>
        </w:rPr>
        <w:t xml:space="preserve"> for proposals organisations must register in PADOR and submit their application in PROSPECT</w:t>
      </w:r>
      <w:r w:rsidRPr="00BE543A">
        <w:rPr>
          <w:b/>
          <w:snapToGrid w:val="0"/>
          <w:color w:val="auto"/>
          <w:sz w:val="22"/>
          <w:szCs w:val="20"/>
          <w:lang w:eastAsia="en-US"/>
        </w:rPr>
        <w:t xml:space="preserve"> </w:t>
      </w:r>
      <w:r>
        <w:rPr>
          <w:b/>
          <w:snapToGrid w:val="0"/>
          <w:color w:val="auto"/>
          <w:sz w:val="22"/>
          <w:szCs w:val="20"/>
          <w:lang w:eastAsia="en-US"/>
        </w:rPr>
        <w:t xml:space="preserve">(see section 2.2.2 of the guidelines). </w:t>
      </w:r>
      <w:r w:rsidRPr="00BE543A">
        <w:rPr>
          <w:snapToGrid w:val="0"/>
          <w:color w:val="auto"/>
          <w:sz w:val="22"/>
          <w:szCs w:val="20"/>
          <w:lang w:eastAsia="en-US"/>
        </w:rPr>
        <w:t xml:space="preserve">The aim of PROSPECT is to increase the efficiency of the management of the </w:t>
      </w:r>
      <w:r>
        <w:rPr>
          <w:snapToGrid w:val="0"/>
          <w:color w:val="auto"/>
          <w:sz w:val="22"/>
          <w:szCs w:val="20"/>
          <w:lang w:eastAsia="en-US"/>
        </w:rPr>
        <w:t>c</w:t>
      </w:r>
      <w:r w:rsidRPr="00BE543A">
        <w:rPr>
          <w:snapToGrid w:val="0"/>
          <w:color w:val="auto"/>
          <w:sz w:val="22"/>
          <w:szCs w:val="20"/>
          <w:lang w:eastAsia="en-US"/>
        </w:rPr>
        <w:t xml:space="preserve">all for </w:t>
      </w:r>
      <w:r>
        <w:rPr>
          <w:snapToGrid w:val="0"/>
          <w:color w:val="auto"/>
          <w:sz w:val="22"/>
          <w:szCs w:val="20"/>
          <w:lang w:eastAsia="en-US"/>
        </w:rPr>
        <w:t>p</w:t>
      </w:r>
      <w:r w:rsidRPr="00BE543A">
        <w:rPr>
          <w:snapToGrid w:val="0"/>
          <w:color w:val="auto"/>
          <w:sz w:val="22"/>
          <w:szCs w:val="20"/>
          <w:lang w:eastAsia="en-US"/>
        </w:rPr>
        <w:t>roposals and to offer a better service to civil society organisations through a new panel of functionalit</w:t>
      </w:r>
      <w:r>
        <w:rPr>
          <w:snapToGrid w:val="0"/>
          <w:color w:val="auto"/>
          <w:sz w:val="22"/>
          <w:szCs w:val="20"/>
          <w:lang w:eastAsia="en-US"/>
        </w:rPr>
        <w:t>ies such as the on-line submission and</w:t>
      </w:r>
      <w:r w:rsidRPr="00BE543A">
        <w:rPr>
          <w:snapToGrid w:val="0"/>
          <w:color w:val="auto"/>
          <w:sz w:val="22"/>
          <w:szCs w:val="20"/>
          <w:lang w:eastAsia="en-US"/>
        </w:rPr>
        <w:t xml:space="preserve"> the possibility to follow up online </w:t>
      </w:r>
      <w:r>
        <w:rPr>
          <w:snapToGrid w:val="0"/>
          <w:color w:val="auto"/>
          <w:sz w:val="22"/>
          <w:szCs w:val="20"/>
          <w:lang w:eastAsia="en-US"/>
        </w:rPr>
        <w:t>the status of their application.</w:t>
      </w:r>
    </w:p>
    <w:p w14:paraId="608E7C34" w14:textId="1EE31FCF" w:rsidR="00EE4E75" w:rsidRPr="00B60AE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4103F">
        <w:rPr>
          <w:b/>
          <w:snapToGrid w:val="0"/>
          <w:color w:val="auto"/>
          <w:sz w:val="22"/>
          <w:szCs w:val="20"/>
          <w:lang w:eastAsia="en-US"/>
        </w:rPr>
        <w:t>Preparation</w:t>
      </w:r>
      <w:r w:rsidRPr="00063B9A">
        <w:rPr>
          <w:b/>
          <w:bCs/>
          <w:snapToGrid w:val="0"/>
          <w:color w:val="auto"/>
          <w:sz w:val="22"/>
          <w:szCs w:val="20"/>
          <w:lang w:eastAsia="en-US"/>
        </w:rPr>
        <w:t>:</w:t>
      </w:r>
      <w:r w:rsidRPr="00B4103F">
        <w:rPr>
          <w:snapToGrid w:val="0"/>
          <w:color w:val="auto"/>
          <w:sz w:val="22"/>
          <w:szCs w:val="20"/>
          <w:lang w:eastAsia="en-US"/>
        </w:rPr>
        <w:t xml:space="preserve"> Information </w:t>
      </w:r>
      <w:r w:rsidRPr="00B60AEA">
        <w:rPr>
          <w:snapToGrid w:val="0"/>
          <w:color w:val="auto"/>
          <w:sz w:val="22"/>
          <w:szCs w:val="20"/>
          <w:lang w:eastAsia="en-US"/>
        </w:rPr>
        <w:t xml:space="preserve">session </w:t>
      </w:r>
      <w:r w:rsidR="00687852" w:rsidRPr="00B60AEA">
        <w:rPr>
          <w:b/>
          <w:snapToGrid w:val="0"/>
          <w:color w:val="auto"/>
          <w:sz w:val="22"/>
          <w:szCs w:val="20"/>
          <w:lang w:eastAsia="en-US"/>
        </w:rPr>
        <w:t>4 April</w:t>
      </w:r>
      <w:r w:rsidR="00744681" w:rsidRPr="00B60AEA">
        <w:rPr>
          <w:b/>
          <w:snapToGrid w:val="0"/>
          <w:color w:val="FF0000"/>
          <w:sz w:val="22"/>
          <w:szCs w:val="20"/>
          <w:lang w:eastAsia="en-US"/>
        </w:rPr>
        <w:t xml:space="preserve"> </w:t>
      </w:r>
      <w:r w:rsidR="00744681" w:rsidRPr="00B60AEA">
        <w:rPr>
          <w:b/>
          <w:snapToGrid w:val="0"/>
          <w:color w:val="auto"/>
          <w:sz w:val="22"/>
          <w:szCs w:val="20"/>
          <w:lang w:eastAsia="en-US"/>
        </w:rPr>
        <w:t>2025 in Chi</w:t>
      </w:r>
      <w:r w:rsidR="00744681" w:rsidRPr="00B60AEA">
        <w:rPr>
          <w:b/>
          <w:snapToGrid w:val="0"/>
          <w:color w:val="auto"/>
          <w:sz w:val="22"/>
          <w:szCs w:val="20"/>
          <w:lang w:val="ro-MD" w:eastAsia="en-US"/>
        </w:rPr>
        <w:t>ș</w:t>
      </w:r>
      <w:proofErr w:type="spellStart"/>
      <w:r w:rsidR="00744681" w:rsidRPr="00B60AEA">
        <w:rPr>
          <w:b/>
          <w:snapToGrid w:val="0"/>
          <w:color w:val="auto"/>
          <w:sz w:val="22"/>
          <w:szCs w:val="20"/>
          <w:lang w:eastAsia="en-US"/>
        </w:rPr>
        <w:t>inău</w:t>
      </w:r>
      <w:proofErr w:type="spellEnd"/>
      <w:r w:rsidR="00744681" w:rsidRPr="00B60AEA">
        <w:rPr>
          <w:b/>
          <w:snapToGrid w:val="0"/>
          <w:color w:val="auto"/>
          <w:sz w:val="22"/>
          <w:szCs w:val="20"/>
          <w:lang w:eastAsia="en-US"/>
        </w:rPr>
        <w:t>, Republic of Moldova</w:t>
      </w:r>
      <w:r w:rsidR="00744681" w:rsidRPr="00B60AEA">
        <w:rPr>
          <w:snapToGrid w:val="0"/>
          <w:color w:val="auto"/>
          <w:sz w:val="22"/>
          <w:szCs w:val="20"/>
          <w:lang w:eastAsia="en-US"/>
        </w:rPr>
        <w:t xml:space="preserve"> </w:t>
      </w:r>
      <w:r w:rsidRPr="00B60AEA">
        <w:rPr>
          <w:snapToGrid w:val="0"/>
          <w:color w:val="auto"/>
          <w:sz w:val="22"/>
          <w:szCs w:val="20"/>
          <w:lang w:eastAsia="en-US"/>
        </w:rPr>
        <w:t xml:space="preserve">and user manuals </w:t>
      </w:r>
    </w:p>
    <w:p w14:paraId="553FB42D" w14:textId="0A48026C" w:rsidR="00EE4E75" w:rsidRPr="00B4103F"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60AEA">
        <w:rPr>
          <w:snapToGrid w:val="0"/>
          <w:color w:val="auto"/>
          <w:sz w:val="22"/>
          <w:szCs w:val="20"/>
          <w:lang w:eastAsia="en-US"/>
        </w:rPr>
        <w:t xml:space="preserve">To help applicants familiarise themselves with the system before the online submission, an information session will be organised on </w:t>
      </w:r>
      <w:r w:rsidR="00687852" w:rsidRPr="00B60AEA">
        <w:rPr>
          <w:b/>
          <w:snapToGrid w:val="0"/>
          <w:color w:val="auto"/>
          <w:sz w:val="22"/>
          <w:szCs w:val="20"/>
          <w:lang w:eastAsia="en-US"/>
        </w:rPr>
        <w:t>4 April</w:t>
      </w:r>
      <w:r w:rsidR="00744681" w:rsidRPr="00B60AEA">
        <w:rPr>
          <w:b/>
          <w:snapToGrid w:val="0"/>
          <w:color w:val="auto"/>
          <w:sz w:val="22"/>
          <w:szCs w:val="20"/>
          <w:lang w:eastAsia="en-US"/>
        </w:rPr>
        <w:t xml:space="preserve"> 2025</w:t>
      </w:r>
      <w:r w:rsidR="00744681" w:rsidRPr="00744681">
        <w:rPr>
          <w:b/>
          <w:snapToGrid w:val="0"/>
          <w:color w:val="auto"/>
          <w:sz w:val="22"/>
          <w:szCs w:val="20"/>
          <w:lang w:eastAsia="en-US"/>
        </w:rPr>
        <w:t xml:space="preserve"> in </w:t>
      </w:r>
      <w:proofErr w:type="spellStart"/>
      <w:r w:rsidR="00744681" w:rsidRPr="00744681">
        <w:rPr>
          <w:b/>
          <w:snapToGrid w:val="0"/>
          <w:color w:val="auto"/>
          <w:sz w:val="22"/>
          <w:szCs w:val="20"/>
          <w:lang w:eastAsia="en-US"/>
        </w:rPr>
        <w:t>Chișinău</w:t>
      </w:r>
      <w:proofErr w:type="spellEnd"/>
      <w:r w:rsidR="00744681" w:rsidRPr="00744681">
        <w:rPr>
          <w:b/>
          <w:snapToGrid w:val="0"/>
          <w:color w:val="auto"/>
          <w:sz w:val="22"/>
          <w:szCs w:val="20"/>
          <w:lang w:eastAsia="en-US"/>
        </w:rPr>
        <w:t>, Republic of Moldov</w:t>
      </w:r>
      <w:r w:rsidR="00744681" w:rsidRPr="00B60AEA">
        <w:rPr>
          <w:b/>
          <w:snapToGrid w:val="0"/>
          <w:color w:val="auto"/>
          <w:sz w:val="22"/>
          <w:szCs w:val="20"/>
          <w:lang w:eastAsia="en-US"/>
        </w:rPr>
        <w:t>a</w:t>
      </w:r>
      <w:r w:rsidR="00687852" w:rsidRPr="00B60AEA">
        <w:rPr>
          <w:b/>
          <w:snapToGrid w:val="0"/>
          <w:color w:val="auto"/>
          <w:sz w:val="22"/>
          <w:szCs w:val="20"/>
          <w:lang w:eastAsia="en-US"/>
        </w:rPr>
        <w:t xml:space="preserve">, </w:t>
      </w:r>
      <w:r w:rsidR="00687852" w:rsidRPr="00CF5B05">
        <w:rPr>
          <w:b/>
          <w:snapToGrid w:val="0"/>
          <w:color w:val="auto"/>
          <w:sz w:val="22"/>
          <w:szCs w:val="20"/>
          <w:u w:val="single"/>
          <w:lang w:eastAsia="en-US"/>
        </w:rPr>
        <w:t>in a hybrid format</w:t>
      </w:r>
      <w:r w:rsidRPr="00B60AEA">
        <w:rPr>
          <w:snapToGrid w:val="0"/>
          <w:color w:val="auto"/>
          <w:sz w:val="22"/>
          <w:szCs w:val="20"/>
          <w:lang w:eastAsia="en-US"/>
        </w:rPr>
        <w:t>.</w:t>
      </w:r>
    </w:p>
    <w:p w14:paraId="07F001A9" w14:textId="27DA2AA4" w:rsidR="00EE4E75" w:rsidRPr="00BE543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lang w:eastAsia="en-US"/>
        </w:rPr>
      </w:pPr>
      <w:r w:rsidRPr="00B4103F">
        <w:rPr>
          <w:snapToGrid w:val="0"/>
          <w:color w:val="auto"/>
          <w:sz w:val="22"/>
          <w:szCs w:val="20"/>
          <w:lang w:eastAsia="en-US"/>
        </w:rPr>
        <w:t xml:space="preserve">Should you be interested in this session, please send an </w:t>
      </w:r>
      <w:r w:rsidRPr="00B60AEA">
        <w:rPr>
          <w:snapToGrid w:val="0"/>
          <w:color w:val="auto"/>
          <w:sz w:val="22"/>
          <w:szCs w:val="20"/>
          <w:lang w:eastAsia="en-US"/>
        </w:rPr>
        <w:t xml:space="preserve">email by </w:t>
      </w:r>
      <w:r w:rsidR="00687852" w:rsidRPr="00B60AEA">
        <w:rPr>
          <w:b/>
          <w:snapToGrid w:val="0"/>
          <w:color w:val="auto"/>
          <w:sz w:val="22"/>
          <w:szCs w:val="20"/>
          <w:lang w:eastAsia="en-US"/>
        </w:rPr>
        <w:t>1 April</w:t>
      </w:r>
      <w:r w:rsidR="005507C7">
        <w:rPr>
          <w:b/>
          <w:snapToGrid w:val="0"/>
          <w:color w:val="auto"/>
          <w:sz w:val="22"/>
          <w:szCs w:val="20"/>
          <w:lang w:eastAsia="en-US"/>
        </w:rPr>
        <w:t xml:space="preserve"> 2025,</w:t>
      </w:r>
      <w:r w:rsidR="00FD1F1A">
        <w:rPr>
          <w:b/>
          <w:snapToGrid w:val="0"/>
          <w:color w:val="auto"/>
          <w:sz w:val="22"/>
          <w:szCs w:val="20"/>
          <w:lang w:eastAsia="en-US"/>
        </w:rPr>
        <w:t xml:space="preserve"> 18:00 </w:t>
      </w:r>
      <w:proofErr w:type="spellStart"/>
      <w:r w:rsidR="00FD1F1A">
        <w:rPr>
          <w:b/>
          <w:snapToGrid w:val="0"/>
          <w:color w:val="auto"/>
          <w:sz w:val="22"/>
          <w:szCs w:val="20"/>
          <w:lang w:eastAsia="en-US"/>
        </w:rPr>
        <w:t>Chișinău</w:t>
      </w:r>
      <w:proofErr w:type="spellEnd"/>
      <w:r w:rsidR="00FD1F1A">
        <w:rPr>
          <w:b/>
          <w:snapToGrid w:val="0"/>
          <w:color w:val="auto"/>
          <w:sz w:val="22"/>
          <w:szCs w:val="20"/>
          <w:lang w:eastAsia="en-US"/>
        </w:rPr>
        <w:t xml:space="preserve"> time </w:t>
      </w:r>
      <w:r w:rsidRPr="00B60AEA">
        <w:rPr>
          <w:snapToGrid w:val="0"/>
          <w:color w:val="auto"/>
          <w:sz w:val="22"/>
          <w:szCs w:val="20"/>
          <w:lang w:eastAsia="en-US"/>
        </w:rPr>
        <w:t xml:space="preserve">to </w:t>
      </w:r>
      <w:hyperlink r:id="rId10" w:history="1">
        <w:r w:rsidR="00744681" w:rsidRPr="00B60AEA">
          <w:rPr>
            <w:rStyle w:val="Hyperlink"/>
            <w:b/>
            <w:noProof/>
            <w:sz w:val="22"/>
            <w:szCs w:val="22"/>
          </w:rPr>
          <w:t>Delegation-Moldova-Operations@eeas.europa.eu</w:t>
        </w:r>
      </w:hyperlink>
      <w:r w:rsidRPr="00B60AEA">
        <w:rPr>
          <w:snapToGrid w:val="0"/>
          <w:color w:val="auto"/>
          <w:sz w:val="22"/>
          <w:szCs w:val="20"/>
          <w:lang w:eastAsia="en-US"/>
        </w:rPr>
        <w:t>, indicating: name, surname, nationality and email</w:t>
      </w:r>
      <w:r w:rsidRPr="00B4103F">
        <w:rPr>
          <w:snapToGrid w:val="0"/>
          <w:color w:val="auto"/>
          <w:sz w:val="22"/>
          <w:szCs w:val="20"/>
          <w:lang w:eastAsia="en-US"/>
        </w:rPr>
        <w:t xml:space="preserve"> address of the persons who are going to participate as well as their organisation (max. two participants per organisation). No costs incurred by the applicants for attending this inform</w:t>
      </w:r>
      <w:r w:rsidR="00744681">
        <w:rPr>
          <w:snapToGrid w:val="0"/>
          <w:color w:val="auto"/>
          <w:sz w:val="22"/>
          <w:szCs w:val="20"/>
          <w:lang w:eastAsia="en-US"/>
        </w:rPr>
        <w:t>ation session are reimbursable.</w:t>
      </w:r>
      <w:r w:rsidRPr="00BE543A">
        <w:rPr>
          <w:snapToGrid w:val="0"/>
          <w:color w:val="auto"/>
          <w:sz w:val="22"/>
          <w:szCs w:val="20"/>
          <w:lang w:eastAsia="en-US"/>
        </w:rPr>
        <w:t xml:space="preserve"> </w:t>
      </w:r>
    </w:p>
    <w:p w14:paraId="1D7C65AC" w14:textId="77777777" w:rsidR="00EE4E75" w:rsidRDefault="00381EDB" w:rsidP="00EE4E75">
      <w:pPr>
        <w:pStyle w:val="Untertitel"/>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pPr>
      <w:r>
        <w:rPr>
          <w:rFonts w:ascii="Times New Roman" w:hAnsi="Times New Roman"/>
          <w:b w:val="0"/>
          <w:sz w:val="22"/>
          <w:lang w:val="en-GB"/>
        </w:rPr>
        <w:t xml:space="preserve">All organisations may find more information regarding PROSPECT in the </w:t>
      </w:r>
      <w:hyperlink r:id="rId11" w:history="1">
        <w:r w:rsidR="00F874BB">
          <w:rPr>
            <w:rStyle w:val="Hyperlink"/>
            <w:rFonts w:ascii="Times New Roman" w:hAnsi="Times New Roman"/>
            <w:b w:val="0"/>
            <w:sz w:val="22"/>
            <w:lang w:val="en-GB"/>
          </w:rPr>
          <w:t>user's manual</w:t>
        </w:r>
      </w:hyperlink>
      <w:r w:rsidR="00F874BB" w:rsidRPr="0094490A">
        <w:rPr>
          <w:rFonts w:ascii="Times New Roman" w:hAnsi="Times New Roman"/>
          <w:b w:val="0"/>
          <w:sz w:val="22"/>
          <w:lang w:val="en-GB"/>
        </w:rPr>
        <w:t xml:space="preserve"> </w:t>
      </w:r>
      <w:r>
        <w:rPr>
          <w:rFonts w:ascii="Times New Roman" w:hAnsi="Times New Roman"/>
          <w:b w:val="0"/>
          <w:sz w:val="22"/>
          <w:lang w:val="en-GB"/>
        </w:rPr>
        <w:t>and the</w:t>
      </w:r>
      <w:r w:rsidR="00745797">
        <w:rPr>
          <w:rFonts w:ascii="Times New Roman" w:hAnsi="Times New Roman"/>
          <w:b w:val="0"/>
          <w:sz w:val="22"/>
          <w:lang w:val="en-GB"/>
        </w:rPr>
        <w:t xml:space="preserve"> </w:t>
      </w:r>
      <w:hyperlink r:id="rId12" w:history="1">
        <w:r w:rsidR="00F874BB">
          <w:rPr>
            <w:rStyle w:val="Hyperlink"/>
            <w:rFonts w:ascii="Times New Roman" w:hAnsi="Times New Roman"/>
            <w:b w:val="0"/>
            <w:sz w:val="22"/>
            <w:lang w:val="en-GB"/>
          </w:rPr>
          <w:t>e-learning videos</w:t>
        </w:r>
      </w:hyperlink>
      <w:r>
        <w:rPr>
          <w:rFonts w:ascii="Times New Roman" w:hAnsi="Times New Roman"/>
          <w:b w:val="0"/>
          <w:sz w:val="22"/>
          <w:lang w:val="en-GB"/>
        </w:rPr>
        <w:t>. You may also</w:t>
      </w:r>
      <w:r w:rsidRPr="00BE543A">
        <w:rPr>
          <w:rFonts w:ascii="Times New Roman" w:hAnsi="Times New Roman"/>
          <w:b w:val="0"/>
          <w:sz w:val="22"/>
          <w:lang w:val="en-GB"/>
        </w:rPr>
        <w:t xml:space="preserve"> contact our technical support team</w:t>
      </w:r>
      <w:r>
        <w:rPr>
          <w:rFonts w:ascii="Times New Roman" w:hAnsi="Times New Roman"/>
          <w:b w:val="0"/>
          <w:sz w:val="22"/>
          <w:lang w:val="en-GB"/>
        </w:rPr>
        <w:t xml:space="preserve"> via the online support form in PROSPECT</w:t>
      </w:r>
      <w:r w:rsidR="00EE4E75">
        <w:rPr>
          <w:rStyle w:val="Funotenzeichen"/>
          <w:rFonts w:ascii="Times New Roman" w:hAnsi="Times New Roman"/>
          <w:b w:val="0"/>
          <w:lang w:val="en-GB"/>
        </w:rPr>
        <w:footnoteReference w:id="4"/>
      </w:r>
      <w:r w:rsidR="00EE4E75">
        <w:rPr>
          <w:rFonts w:ascii="Times New Roman" w:hAnsi="Times New Roman"/>
          <w:b w:val="0"/>
          <w:sz w:val="22"/>
          <w:lang w:val="en-GB"/>
        </w:rPr>
        <w:t>.</w:t>
      </w:r>
    </w:p>
    <w:p w14:paraId="48553094" w14:textId="77777777" w:rsidR="00EE4E75" w:rsidRPr="00BE543A" w:rsidRDefault="00EE4E75" w:rsidP="00EE4E75">
      <w:pPr>
        <w:pStyle w:val="Untertitel"/>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en-GB"/>
        </w:rPr>
        <w:sectPr w:rsidR="00EE4E75" w:rsidRPr="00BE543A" w:rsidSect="00DF6F65">
          <w:footerReference w:type="default" r:id="rId13"/>
          <w:footerReference w:type="first" r:id="rId14"/>
          <w:pgSz w:w="11906" w:h="16838" w:code="9"/>
          <w:pgMar w:top="907" w:right="1134" w:bottom="1134" w:left="1418" w:header="567" w:footer="544" w:gutter="0"/>
          <w:pgNumType w:start="1"/>
          <w:cols w:space="708"/>
          <w:titlePg/>
        </w:sectPr>
      </w:pPr>
    </w:p>
    <w:p w14:paraId="07358758" w14:textId="77777777" w:rsidR="0007408E" w:rsidRPr="00807DAF" w:rsidRDefault="0007408E" w:rsidP="00EF1DCD">
      <w:pPr>
        <w:pageBreakBefore/>
        <w:spacing w:after="600"/>
        <w:jc w:val="center"/>
        <w:rPr>
          <w:sz w:val="32"/>
        </w:rPr>
      </w:pPr>
      <w:r w:rsidRPr="00807DAF">
        <w:rPr>
          <w:sz w:val="32"/>
        </w:rPr>
        <w:lastRenderedPageBreak/>
        <w:t>Table of contents</w:t>
      </w:r>
    </w:p>
    <w:p w14:paraId="2B95EBD3" w14:textId="0BFD04BA" w:rsidR="00C1168E" w:rsidRDefault="001417D6">
      <w:pPr>
        <w:pStyle w:val="Verzeichnis1"/>
        <w:rPr>
          <w:rFonts w:ascii="Calibri" w:hAnsi="Calibri"/>
          <w:b w:val="0"/>
          <w:caps w:val="0"/>
          <w:noProof/>
          <w:kern w:val="2"/>
          <w:szCs w:val="22"/>
          <w:lang w:eastAsia="en-GB"/>
        </w:rPr>
      </w:pPr>
      <w:r>
        <w:rPr>
          <w:b w:val="0"/>
          <w:caps w:val="0"/>
        </w:rPr>
        <w:fldChar w:fldCharType="begin"/>
      </w:r>
      <w:r>
        <w:rPr>
          <w:b w:val="0"/>
          <w:caps w:val="0"/>
        </w:rPr>
        <w:instrText xml:space="preserve"> TOC \h \z \t "Guidelines 1;1;Guidelines 2;2;Guidelines 3;3" </w:instrText>
      </w:r>
      <w:r>
        <w:rPr>
          <w:b w:val="0"/>
          <w:caps w:val="0"/>
        </w:rPr>
        <w:fldChar w:fldCharType="separate"/>
      </w:r>
      <w:hyperlink w:anchor="_Toc185257666" w:history="1">
        <w:r w:rsidR="00C1168E" w:rsidRPr="00B24548">
          <w:rPr>
            <w:rStyle w:val="Hyperlink"/>
            <w:noProof/>
          </w:rPr>
          <w:t>1.</w:t>
        </w:r>
        <w:r w:rsidR="00C1168E">
          <w:rPr>
            <w:rFonts w:ascii="Calibri" w:hAnsi="Calibri"/>
            <w:b w:val="0"/>
            <w:caps w:val="0"/>
            <w:noProof/>
            <w:kern w:val="2"/>
            <w:szCs w:val="22"/>
            <w:lang w:eastAsia="en-GB"/>
          </w:rPr>
          <w:tab/>
        </w:r>
        <w:r w:rsidR="0061244D" w:rsidRPr="0061244D">
          <w:rPr>
            <w:rStyle w:val="Hyperlink"/>
            <w:noProof/>
          </w:rPr>
          <w:t xml:space="preserve">«Support </w:t>
        </w:r>
        <w:r w:rsidR="006E4060">
          <w:rPr>
            <w:rStyle w:val="Hyperlink"/>
            <w:noProof/>
          </w:rPr>
          <w:t>for</w:t>
        </w:r>
        <w:r w:rsidR="0061244D" w:rsidRPr="0061244D">
          <w:rPr>
            <w:rStyle w:val="Hyperlink"/>
            <w:noProof/>
          </w:rPr>
          <w:t xml:space="preserve"> civil society organisations in the Republic of Moldova in 2025»</w:t>
        </w:r>
        <w:r w:rsidR="00C1168E">
          <w:rPr>
            <w:noProof/>
            <w:webHidden/>
          </w:rPr>
          <w:tab/>
        </w:r>
        <w:r w:rsidR="00C1168E">
          <w:rPr>
            <w:noProof/>
            <w:webHidden/>
          </w:rPr>
          <w:fldChar w:fldCharType="begin"/>
        </w:r>
        <w:r w:rsidR="00C1168E">
          <w:rPr>
            <w:noProof/>
            <w:webHidden/>
          </w:rPr>
          <w:instrText xml:space="preserve"> PAGEREF _Toc185257666 \h </w:instrText>
        </w:r>
        <w:r w:rsidR="00C1168E">
          <w:rPr>
            <w:noProof/>
            <w:webHidden/>
          </w:rPr>
        </w:r>
        <w:r w:rsidR="00C1168E">
          <w:rPr>
            <w:noProof/>
            <w:webHidden/>
          </w:rPr>
          <w:fldChar w:fldCharType="separate"/>
        </w:r>
        <w:r w:rsidR="00C1168E">
          <w:rPr>
            <w:noProof/>
            <w:webHidden/>
          </w:rPr>
          <w:t>4</w:t>
        </w:r>
        <w:r w:rsidR="00C1168E">
          <w:rPr>
            <w:noProof/>
            <w:webHidden/>
          </w:rPr>
          <w:fldChar w:fldCharType="end"/>
        </w:r>
      </w:hyperlink>
    </w:p>
    <w:p w14:paraId="3184C19D" w14:textId="77777777" w:rsidR="00C1168E" w:rsidRDefault="007340C5">
      <w:pPr>
        <w:pStyle w:val="Verzeichnis2"/>
        <w:rPr>
          <w:rFonts w:ascii="Calibri" w:hAnsi="Calibri"/>
          <w:noProof/>
          <w:kern w:val="2"/>
          <w:szCs w:val="22"/>
          <w:lang w:eastAsia="en-GB"/>
        </w:rPr>
      </w:pPr>
      <w:hyperlink w:anchor="_Toc185257667" w:history="1">
        <w:r w:rsidR="00C1168E" w:rsidRPr="00B24548">
          <w:rPr>
            <w:rStyle w:val="Hyperlink"/>
            <w:noProof/>
          </w:rPr>
          <w:t>1.1.</w:t>
        </w:r>
        <w:r w:rsidR="00C1168E">
          <w:rPr>
            <w:rFonts w:ascii="Calibri" w:hAnsi="Calibri"/>
            <w:noProof/>
            <w:kern w:val="2"/>
            <w:szCs w:val="22"/>
            <w:lang w:eastAsia="en-GB"/>
          </w:rPr>
          <w:tab/>
        </w:r>
        <w:r w:rsidR="00C1168E" w:rsidRPr="00B24548">
          <w:rPr>
            <w:rStyle w:val="Hyperlink"/>
            <w:noProof/>
          </w:rPr>
          <w:t>Background</w:t>
        </w:r>
        <w:r w:rsidR="00C1168E">
          <w:rPr>
            <w:noProof/>
            <w:webHidden/>
          </w:rPr>
          <w:tab/>
        </w:r>
        <w:r w:rsidR="00C1168E">
          <w:rPr>
            <w:noProof/>
            <w:webHidden/>
          </w:rPr>
          <w:fldChar w:fldCharType="begin"/>
        </w:r>
        <w:r w:rsidR="00C1168E">
          <w:rPr>
            <w:noProof/>
            <w:webHidden/>
          </w:rPr>
          <w:instrText xml:space="preserve"> PAGEREF _Toc185257667 \h </w:instrText>
        </w:r>
        <w:r w:rsidR="00C1168E">
          <w:rPr>
            <w:noProof/>
            <w:webHidden/>
          </w:rPr>
        </w:r>
        <w:r w:rsidR="00C1168E">
          <w:rPr>
            <w:noProof/>
            <w:webHidden/>
          </w:rPr>
          <w:fldChar w:fldCharType="separate"/>
        </w:r>
        <w:r w:rsidR="00C1168E">
          <w:rPr>
            <w:noProof/>
            <w:webHidden/>
          </w:rPr>
          <w:t>4</w:t>
        </w:r>
        <w:r w:rsidR="00C1168E">
          <w:rPr>
            <w:noProof/>
            <w:webHidden/>
          </w:rPr>
          <w:fldChar w:fldCharType="end"/>
        </w:r>
      </w:hyperlink>
    </w:p>
    <w:p w14:paraId="4D047435" w14:textId="77777777" w:rsidR="00C1168E" w:rsidRDefault="007340C5">
      <w:pPr>
        <w:pStyle w:val="Verzeichnis2"/>
        <w:rPr>
          <w:rFonts w:ascii="Calibri" w:hAnsi="Calibri"/>
          <w:noProof/>
          <w:kern w:val="2"/>
          <w:szCs w:val="22"/>
          <w:lang w:eastAsia="en-GB"/>
        </w:rPr>
      </w:pPr>
      <w:hyperlink w:anchor="_Toc185257668" w:history="1">
        <w:r w:rsidR="00C1168E" w:rsidRPr="00B24548">
          <w:rPr>
            <w:rStyle w:val="Hyperlink"/>
            <w:noProof/>
          </w:rPr>
          <w:t>1.2.</w:t>
        </w:r>
        <w:r w:rsidR="00C1168E">
          <w:rPr>
            <w:rFonts w:ascii="Calibri" w:hAnsi="Calibri"/>
            <w:noProof/>
            <w:kern w:val="2"/>
            <w:szCs w:val="22"/>
            <w:lang w:eastAsia="en-GB"/>
          </w:rPr>
          <w:tab/>
        </w:r>
        <w:r w:rsidR="00C1168E" w:rsidRPr="00B24548">
          <w:rPr>
            <w:rStyle w:val="Hyperlink"/>
            <w:noProof/>
          </w:rPr>
          <w:t>Objectives of the programme and priority issues</w:t>
        </w:r>
        <w:r w:rsidR="00C1168E">
          <w:rPr>
            <w:noProof/>
            <w:webHidden/>
          </w:rPr>
          <w:tab/>
        </w:r>
        <w:r w:rsidR="00C1168E">
          <w:rPr>
            <w:noProof/>
            <w:webHidden/>
          </w:rPr>
          <w:fldChar w:fldCharType="begin"/>
        </w:r>
        <w:r w:rsidR="00C1168E">
          <w:rPr>
            <w:noProof/>
            <w:webHidden/>
          </w:rPr>
          <w:instrText xml:space="preserve"> PAGEREF _Toc185257668 \h </w:instrText>
        </w:r>
        <w:r w:rsidR="00C1168E">
          <w:rPr>
            <w:noProof/>
            <w:webHidden/>
          </w:rPr>
        </w:r>
        <w:r w:rsidR="00C1168E">
          <w:rPr>
            <w:noProof/>
            <w:webHidden/>
          </w:rPr>
          <w:fldChar w:fldCharType="separate"/>
        </w:r>
        <w:r w:rsidR="00C1168E">
          <w:rPr>
            <w:noProof/>
            <w:webHidden/>
          </w:rPr>
          <w:t>4</w:t>
        </w:r>
        <w:r w:rsidR="00C1168E">
          <w:rPr>
            <w:noProof/>
            <w:webHidden/>
          </w:rPr>
          <w:fldChar w:fldCharType="end"/>
        </w:r>
      </w:hyperlink>
    </w:p>
    <w:p w14:paraId="3EEAFCBB" w14:textId="77777777" w:rsidR="00C1168E" w:rsidRDefault="007340C5">
      <w:pPr>
        <w:pStyle w:val="Verzeichnis2"/>
        <w:rPr>
          <w:rFonts w:ascii="Calibri" w:hAnsi="Calibri"/>
          <w:noProof/>
          <w:kern w:val="2"/>
          <w:szCs w:val="22"/>
          <w:lang w:eastAsia="en-GB"/>
        </w:rPr>
      </w:pPr>
      <w:hyperlink w:anchor="_Toc185257669" w:history="1">
        <w:r w:rsidR="00C1168E" w:rsidRPr="00B24548">
          <w:rPr>
            <w:rStyle w:val="Hyperlink"/>
            <w:noProof/>
          </w:rPr>
          <w:t>1.3.</w:t>
        </w:r>
        <w:r w:rsidR="00C1168E">
          <w:rPr>
            <w:rFonts w:ascii="Calibri" w:hAnsi="Calibri"/>
            <w:noProof/>
            <w:kern w:val="2"/>
            <w:szCs w:val="22"/>
            <w:lang w:eastAsia="en-GB"/>
          </w:rPr>
          <w:tab/>
        </w:r>
        <w:r w:rsidR="00C1168E" w:rsidRPr="00B24548">
          <w:rPr>
            <w:rStyle w:val="Hyperlink"/>
            <w:noProof/>
          </w:rPr>
          <w:t>Financial allocation provided by the contracting authority</w:t>
        </w:r>
        <w:r w:rsidR="00C1168E">
          <w:rPr>
            <w:noProof/>
            <w:webHidden/>
          </w:rPr>
          <w:tab/>
        </w:r>
        <w:r w:rsidR="00C1168E">
          <w:rPr>
            <w:noProof/>
            <w:webHidden/>
          </w:rPr>
          <w:fldChar w:fldCharType="begin"/>
        </w:r>
        <w:r w:rsidR="00C1168E">
          <w:rPr>
            <w:noProof/>
            <w:webHidden/>
          </w:rPr>
          <w:instrText xml:space="preserve"> PAGEREF _Toc185257669 \h </w:instrText>
        </w:r>
        <w:r w:rsidR="00C1168E">
          <w:rPr>
            <w:noProof/>
            <w:webHidden/>
          </w:rPr>
        </w:r>
        <w:r w:rsidR="00C1168E">
          <w:rPr>
            <w:noProof/>
            <w:webHidden/>
          </w:rPr>
          <w:fldChar w:fldCharType="separate"/>
        </w:r>
        <w:r w:rsidR="00C1168E">
          <w:rPr>
            <w:noProof/>
            <w:webHidden/>
          </w:rPr>
          <w:t>4</w:t>
        </w:r>
        <w:r w:rsidR="00C1168E">
          <w:rPr>
            <w:noProof/>
            <w:webHidden/>
          </w:rPr>
          <w:fldChar w:fldCharType="end"/>
        </w:r>
      </w:hyperlink>
    </w:p>
    <w:p w14:paraId="57EE65DA" w14:textId="77777777" w:rsidR="00C1168E" w:rsidRDefault="007340C5">
      <w:pPr>
        <w:pStyle w:val="Verzeichnis1"/>
        <w:rPr>
          <w:rFonts w:ascii="Calibri" w:hAnsi="Calibri"/>
          <w:b w:val="0"/>
          <w:caps w:val="0"/>
          <w:noProof/>
          <w:kern w:val="2"/>
          <w:szCs w:val="22"/>
          <w:lang w:eastAsia="en-GB"/>
        </w:rPr>
      </w:pPr>
      <w:hyperlink w:anchor="_Toc185257670" w:history="1">
        <w:r w:rsidR="00C1168E" w:rsidRPr="00B24548">
          <w:rPr>
            <w:rStyle w:val="Hyperlink"/>
            <w:noProof/>
          </w:rPr>
          <w:t>2.</w:t>
        </w:r>
        <w:r w:rsidR="00C1168E">
          <w:rPr>
            <w:rFonts w:ascii="Calibri" w:hAnsi="Calibri"/>
            <w:b w:val="0"/>
            <w:caps w:val="0"/>
            <w:noProof/>
            <w:kern w:val="2"/>
            <w:szCs w:val="22"/>
            <w:lang w:eastAsia="en-GB"/>
          </w:rPr>
          <w:tab/>
        </w:r>
        <w:r w:rsidR="00C1168E" w:rsidRPr="00B24548">
          <w:rPr>
            <w:rStyle w:val="Hyperlink"/>
            <w:noProof/>
          </w:rPr>
          <w:t>Rules FOR thIS call for proposalS</w:t>
        </w:r>
        <w:r w:rsidR="00C1168E">
          <w:rPr>
            <w:noProof/>
            <w:webHidden/>
          </w:rPr>
          <w:tab/>
        </w:r>
        <w:r w:rsidR="00C1168E">
          <w:rPr>
            <w:noProof/>
            <w:webHidden/>
          </w:rPr>
          <w:fldChar w:fldCharType="begin"/>
        </w:r>
        <w:r w:rsidR="00C1168E">
          <w:rPr>
            <w:noProof/>
            <w:webHidden/>
          </w:rPr>
          <w:instrText xml:space="preserve"> PAGEREF _Toc185257670 \h </w:instrText>
        </w:r>
        <w:r w:rsidR="00C1168E">
          <w:rPr>
            <w:noProof/>
            <w:webHidden/>
          </w:rPr>
        </w:r>
        <w:r w:rsidR="00C1168E">
          <w:rPr>
            <w:noProof/>
            <w:webHidden/>
          </w:rPr>
          <w:fldChar w:fldCharType="separate"/>
        </w:r>
        <w:r w:rsidR="00C1168E">
          <w:rPr>
            <w:noProof/>
            <w:webHidden/>
          </w:rPr>
          <w:t>5</w:t>
        </w:r>
        <w:r w:rsidR="00C1168E">
          <w:rPr>
            <w:noProof/>
            <w:webHidden/>
          </w:rPr>
          <w:fldChar w:fldCharType="end"/>
        </w:r>
      </w:hyperlink>
    </w:p>
    <w:p w14:paraId="6FC646D1" w14:textId="77777777" w:rsidR="00C1168E" w:rsidRDefault="007340C5">
      <w:pPr>
        <w:pStyle w:val="Verzeichnis2"/>
        <w:rPr>
          <w:rFonts w:ascii="Calibri" w:hAnsi="Calibri"/>
          <w:noProof/>
          <w:kern w:val="2"/>
          <w:szCs w:val="22"/>
          <w:lang w:eastAsia="en-GB"/>
        </w:rPr>
      </w:pPr>
      <w:hyperlink w:anchor="_Toc185257671" w:history="1">
        <w:r w:rsidR="00C1168E" w:rsidRPr="00B24548">
          <w:rPr>
            <w:rStyle w:val="Hyperlink"/>
            <w:noProof/>
          </w:rPr>
          <w:t>2.1.</w:t>
        </w:r>
        <w:r w:rsidR="00C1168E">
          <w:rPr>
            <w:rFonts w:ascii="Calibri" w:hAnsi="Calibri"/>
            <w:noProof/>
            <w:kern w:val="2"/>
            <w:szCs w:val="22"/>
            <w:lang w:eastAsia="en-GB"/>
          </w:rPr>
          <w:tab/>
        </w:r>
        <w:r w:rsidR="00C1168E" w:rsidRPr="00B24548">
          <w:rPr>
            <w:rStyle w:val="Hyperlink"/>
            <w:noProof/>
          </w:rPr>
          <w:t>Eligibility criteria</w:t>
        </w:r>
        <w:r w:rsidR="00C1168E">
          <w:rPr>
            <w:noProof/>
            <w:webHidden/>
          </w:rPr>
          <w:tab/>
        </w:r>
        <w:r w:rsidR="00C1168E">
          <w:rPr>
            <w:noProof/>
            <w:webHidden/>
          </w:rPr>
          <w:fldChar w:fldCharType="begin"/>
        </w:r>
        <w:r w:rsidR="00C1168E">
          <w:rPr>
            <w:noProof/>
            <w:webHidden/>
          </w:rPr>
          <w:instrText xml:space="preserve"> PAGEREF _Toc185257671 \h </w:instrText>
        </w:r>
        <w:r w:rsidR="00C1168E">
          <w:rPr>
            <w:noProof/>
            <w:webHidden/>
          </w:rPr>
        </w:r>
        <w:r w:rsidR="00C1168E">
          <w:rPr>
            <w:noProof/>
            <w:webHidden/>
          </w:rPr>
          <w:fldChar w:fldCharType="separate"/>
        </w:r>
        <w:r w:rsidR="00C1168E">
          <w:rPr>
            <w:noProof/>
            <w:webHidden/>
          </w:rPr>
          <w:t>5</w:t>
        </w:r>
        <w:r w:rsidR="00C1168E">
          <w:rPr>
            <w:noProof/>
            <w:webHidden/>
          </w:rPr>
          <w:fldChar w:fldCharType="end"/>
        </w:r>
      </w:hyperlink>
    </w:p>
    <w:p w14:paraId="2497ABF9" w14:textId="77777777" w:rsidR="00C1168E" w:rsidRDefault="007340C5">
      <w:pPr>
        <w:pStyle w:val="Verzeichnis3"/>
        <w:rPr>
          <w:rFonts w:ascii="Calibri" w:hAnsi="Calibri"/>
          <w:kern w:val="2"/>
          <w:sz w:val="22"/>
          <w:szCs w:val="22"/>
          <w:lang w:eastAsia="en-GB"/>
        </w:rPr>
      </w:pPr>
      <w:hyperlink w:anchor="_Toc185257672" w:history="1">
        <w:r w:rsidR="00C1168E" w:rsidRPr="00B24548">
          <w:rPr>
            <w:rStyle w:val="Hyperlink"/>
            <w:rFonts w:ascii="Times New Roman Bold" w:hAnsi="Times New Roman Bold"/>
          </w:rPr>
          <w:t>2.1.1.</w:t>
        </w:r>
        <w:r w:rsidR="00C1168E">
          <w:rPr>
            <w:rFonts w:ascii="Calibri" w:hAnsi="Calibri"/>
            <w:kern w:val="2"/>
            <w:sz w:val="22"/>
            <w:szCs w:val="22"/>
            <w:lang w:eastAsia="en-GB"/>
          </w:rPr>
          <w:tab/>
        </w:r>
        <w:r w:rsidR="00C1168E" w:rsidRPr="00B24548">
          <w:rPr>
            <w:rStyle w:val="Hyperlink"/>
          </w:rPr>
          <w:t>Eligibility of applicants (i.e. lead applicant and co-applicant(s))</w:t>
        </w:r>
        <w:r w:rsidR="00C1168E">
          <w:rPr>
            <w:webHidden/>
          </w:rPr>
          <w:tab/>
        </w:r>
        <w:r w:rsidR="00C1168E">
          <w:rPr>
            <w:webHidden/>
          </w:rPr>
          <w:fldChar w:fldCharType="begin"/>
        </w:r>
        <w:r w:rsidR="00C1168E">
          <w:rPr>
            <w:webHidden/>
          </w:rPr>
          <w:instrText xml:space="preserve"> PAGEREF _Toc185257672 \h </w:instrText>
        </w:r>
        <w:r w:rsidR="00C1168E">
          <w:rPr>
            <w:webHidden/>
          </w:rPr>
        </w:r>
        <w:r w:rsidR="00C1168E">
          <w:rPr>
            <w:webHidden/>
          </w:rPr>
          <w:fldChar w:fldCharType="separate"/>
        </w:r>
        <w:r w:rsidR="00C1168E">
          <w:rPr>
            <w:webHidden/>
          </w:rPr>
          <w:t>6</w:t>
        </w:r>
        <w:r w:rsidR="00C1168E">
          <w:rPr>
            <w:webHidden/>
          </w:rPr>
          <w:fldChar w:fldCharType="end"/>
        </w:r>
      </w:hyperlink>
    </w:p>
    <w:p w14:paraId="69AD4699" w14:textId="77777777" w:rsidR="00C1168E" w:rsidRDefault="007340C5">
      <w:pPr>
        <w:pStyle w:val="Verzeichnis3"/>
        <w:rPr>
          <w:rFonts w:ascii="Calibri" w:hAnsi="Calibri"/>
          <w:kern w:val="2"/>
          <w:sz w:val="22"/>
          <w:szCs w:val="22"/>
          <w:lang w:eastAsia="en-GB"/>
        </w:rPr>
      </w:pPr>
      <w:hyperlink w:anchor="_Toc185257673" w:history="1">
        <w:r w:rsidR="00C1168E" w:rsidRPr="00B24548">
          <w:rPr>
            <w:rStyle w:val="Hyperlink"/>
            <w:rFonts w:ascii="Times New Roman Bold" w:hAnsi="Times New Roman Bold"/>
          </w:rPr>
          <w:t>2.1.2.</w:t>
        </w:r>
        <w:r w:rsidR="00C1168E">
          <w:rPr>
            <w:rFonts w:ascii="Calibri" w:hAnsi="Calibri"/>
            <w:kern w:val="2"/>
            <w:sz w:val="22"/>
            <w:szCs w:val="22"/>
            <w:lang w:eastAsia="en-GB"/>
          </w:rPr>
          <w:tab/>
        </w:r>
        <w:r w:rsidR="00C1168E" w:rsidRPr="00B24548">
          <w:rPr>
            <w:rStyle w:val="Hyperlink"/>
          </w:rPr>
          <w:t>Associates, contractors, recipients of financial support</w:t>
        </w:r>
        <w:r w:rsidR="00C1168E">
          <w:rPr>
            <w:webHidden/>
          </w:rPr>
          <w:tab/>
        </w:r>
        <w:r w:rsidR="00C1168E">
          <w:rPr>
            <w:webHidden/>
          </w:rPr>
          <w:fldChar w:fldCharType="begin"/>
        </w:r>
        <w:r w:rsidR="00C1168E">
          <w:rPr>
            <w:webHidden/>
          </w:rPr>
          <w:instrText xml:space="preserve"> PAGEREF _Toc185257673 \h </w:instrText>
        </w:r>
        <w:r w:rsidR="00C1168E">
          <w:rPr>
            <w:webHidden/>
          </w:rPr>
        </w:r>
        <w:r w:rsidR="00C1168E">
          <w:rPr>
            <w:webHidden/>
          </w:rPr>
          <w:fldChar w:fldCharType="separate"/>
        </w:r>
        <w:r w:rsidR="00C1168E">
          <w:rPr>
            <w:webHidden/>
          </w:rPr>
          <w:t>8</w:t>
        </w:r>
        <w:r w:rsidR="00C1168E">
          <w:rPr>
            <w:webHidden/>
          </w:rPr>
          <w:fldChar w:fldCharType="end"/>
        </w:r>
      </w:hyperlink>
    </w:p>
    <w:p w14:paraId="377A3EF0" w14:textId="77777777" w:rsidR="00C1168E" w:rsidRDefault="007340C5">
      <w:pPr>
        <w:pStyle w:val="Verzeichnis3"/>
        <w:rPr>
          <w:rFonts w:ascii="Calibri" w:hAnsi="Calibri"/>
          <w:kern w:val="2"/>
          <w:sz w:val="22"/>
          <w:szCs w:val="22"/>
          <w:lang w:eastAsia="en-GB"/>
        </w:rPr>
      </w:pPr>
      <w:hyperlink w:anchor="_Toc185257674" w:history="1">
        <w:r w:rsidR="00C1168E" w:rsidRPr="00B24548">
          <w:rPr>
            <w:rStyle w:val="Hyperlink"/>
            <w:rFonts w:ascii="Times New Roman Bold" w:hAnsi="Times New Roman Bold"/>
          </w:rPr>
          <w:t>2.1.3.</w:t>
        </w:r>
        <w:r w:rsidR="00C1168E">
          <w:rPr>
            <w:rFonts w:ascii="Calibri" w:hAnsi="Calibri"/>
            <w:kern w:val="2"/>
            <w:sz w:val="22"/>
            <w:szCs w:val="22"/>
            <w:lang w:eastAsia="en-GB"/>
          </w:rPr>
          <w:tab/>
        </w:r>
        <w:r w:rsidR="00C1168E" w:rsidRPr="00B24548">
          <w:rPr>
            <w:rStyle w:val="Hyperlink"/>
          </w:rPr>
          <w:t>Eligible actions: actions for which an application may be made</w:t>
        </w:r>
        <w:r w:rsidR="00C1168E">
          <w:rPr>
            <w:webHidden/>
          </w:rPr>
          <w:tab/>
        </w:r>
        <w:r w:rsidR="00C1168E">
          <w:rPr>
            <w:webHidden/>
          </w:rPr>
          <w:fldChar w:fldCharType="begin"/>
        </w:r>
        <w:r w:rsidR="00C1168E">
          <w:rPr>
            <w:webHidden/>
          </w:rPr>
          <w:instrText xml:space="preserve"> PAGEREF _Toc185257674 \h </w:instrText>
        </w:r>
        <w:r w:rsidR="00C1168E">
          <w:rPr>
            <w:webHidden/>
          </w:rPr>
        </w:r>
        <w:r w:rsidR="00C1168E">
          <w:rPr>
            <w:webHidden/>
          </w:rPr>
          <w:fldChar w:fldCharType="separate"/>
        </w:r>
        <w:r w:rsidR="00C1168E">
          <w:rPr>
            <w:webHidden/>
          </w:rPr>
          <w:t>9</w:t>
        </w:r>
        <w:r w:rsidR="00C1168E">
          <w:rPr>
            <w:webHidden/>
          </w:rPr>
          <w:fldChar w:fldCharType="end"/>
        </w:r>
      </w:hyperlink>
    </w:p>
    <w:p w14:paraId="67CD517B" w14:textId="77777777" w:rsidR="00C1168E" w:rsidRDefault="007340C5">
      <w:pPr>
        <w:pStyle w:val="Verzeichnis3"/>
        <w:rPr>
          <w:rFonts w:ascii="Calibri" w:hAnsi="Calibri"/>
          <w:kern w:val="2"/>
          <w:sz w:val="22"/>
          <w:szCs w:val="22"/>
          <w:lang w:eastAsia="en-GB"/>
        </w:rPr>
      </w:pPr>
      <w:hyperlink w:anchor="_Toc185257675" w:history="1">
        <w:r w:rsidR="00C1168E" w:rsidRPr="00B24548">
          <w:rPr>
            <w:rStyle w:val="Hyperlink"/>
            <w:rFonts w:ascii="Times New Roman Bold" w:hAnsi="Times New Roman Bold"/>
          </w:rPr>
          <w:t>2.1.4.</w:t>
        </w:r>
        <w:r w:rsidR="00C1168E">
          <w:rPr>
            <w:rFonts w:ascii="Calibri" w:hAnsi="Calibri"/>
            <w:kern w:val="2"/>
            <w:sz w:val="22"/>
            <w:szCs w:val="22"/>
            <w:lang w:eastAsia="en-GB"/>
          </w:rPr>
          <w:tab/>
        </w:r>
        <w:r w:rsidR="00C1168E" w:rsidRPr="00B24548">
          <w:rPr>
            <w:rStyle w:val="Hyperlink"/>
          </w:rPr>
          <w:t>Eligibility of costs and eligibility of results/conditions</w:t>
        </w:r>
        <w:r w:rsidR="00C1168E">
          <w:rPr>
            <w:webHidden/>
          </w:rPr>
          <w:tab/>
        </w:r>
        <w:r w:rsidR="00C1168E">
          <w:rPr>
            <w:webHidden/>
          </w:rPr>
          <w:fldChar w:fldCharType="begin"/>
        </w:r>
        <w:r w:rsidR="00C1168E">
          <w:rPr>
            <w:webHidden/>
          </w:rPr>
          <w:instrText xml:space="preserve"> PAGEREF _Toc185257675 \h </w:instrText>
        </w:r>
        <w:r w:rsidR="00C1168E">
          <w:rPr>
            <w:webHidden/>
          </w:rPr>
        </w:r>
        <w:r w:rsidR="00C1168E">
          <w:rPr>
            <w:webHidden/>
          </w:rPr>
          <w:fldChar w:fldCharType="separate"/>
        </w:r>
        <w:r w:rsidR="00C1168E">
          <w:rPr>
            <w:webHidden/>
          </w:rPr>
          <w:t>11</w:t>
        </w:r>
        <w:r w:rsidR="00C1168E">
          <w:rPr>
            <w:webHidden/>
          </w:rPr>
          <w:fldChar w:fldCharType="end"/>
        </w:r>
      </w:hyperlink>
    </w:p>
    <w:p w14:paraId="4ABBC2C9" w14:textId="77777777" w:rsidR="00C1168E" w:rsidRDefault="007340C5">
      <w:pPr>
        <w:pStyle w:val="Verzeichnis3"/>
        <w:rPr>
          <w:rFonts w:ascii="Calibri" w:hAnsi="Calibri"/>
          <w:kern w:val="2"/>
          <w:sz w:val="22"/>
          <w:szCs w:val="22"/>
          <w:lang w:eastAsia="en-GB"/>
        </w:rPr>
      </w:pPr>
      <w:hyperlink w:anchor="_Toc185257676" w:history="1">
        <w:r w:rsidR="00C1168E" w:rsidRPr="00B24548">
          <w:rPr>
            <w:rStyle w:val="Hyperlink"/>
            <w:rFonts w:ascii="Times New Roman Bold" w:hAnsi="Times New Roman Bold"/>
          </w:rPr>
          <w:t>2.1.5.</w:t>
        </w:r>
        <w:r w:rsidR="00C1168E">
          <w:rPr>
            <w:rFonts w:ascii="Calibri" w:hAnsi="Calibri"/>
            <w:kern w:val="2"/>
            <w:sz w:val="22"/>
            <w:szCs w:val="22"/>
            <w:lang w:eastAsia="en-GB"/>
          </w:rPr>
          <w:tab/>
        </w:r>
        <w:r w:rsidR="00C1168E" w:rsidRPr="00B24548">
          <w:rPr>
            <w:rStyle w:val="Hyperlink"/>
          </w:rPr>
          <w:t>Ethics and values</w:t>
        </w:r>
        <w:r w:rsidR="00C1168E">
          <w:rPr>
            <w:webHidden/>
          </w:rPr>
          <w:tab/>
        </w:r>
        <w:r w:rsidR="00C1168E">
          <w:rPr>
            <w:webHidden/>
          </w:rPr>
          <w:fldChar w:fldCharType="begin"/>
        </w:r>
        <w:r w:rsidR="00C1168E">
          <w:rPr>
            <w:webHidden/>
          </w:rPr>
          <w:instrText xml:space="preserve"> PAGEREF _Toc185257676 \h </w:instrText>
        </w:r>
        <w:r w:rsidR="00C1168E">
          <w:rPr>
            <w:webHidden/>
          </w:rPr>
        </w:r>
        <w:r w:rsidR="00C1168E">
          <w:rPr>
            <w:webHidden/>
          </w:rPr>
          <w:fldChar w:fldCharType="separate"/>
        </w:r>
        <w:r w:rsidR="00C1168E">
          <w:rPr>
            <w:webHidden/>
          </w:rPr>
          <w:t>14</w:t>
        </w:r>
        <w:r w:rsidR="00C1168E">
          <w:rPr>
            <w:webHidden/>
          </w:rPr>
          <w:fldChar w:fldCharType="end"/>
        </w:r>
      </w:hyperlink>
    </w:p>
    <w:p w14:paraId="202C7077" w14:textId="77777777" w:rsidR="00C1168E" w:rsidRDefault="007340C5">
      <w:pPr>
        <w:pStyle w:val="Verzeichnis2"/>
        <w:rPr>
          <w:rFonts w:ascii="Calibri" w:hAnsi="Calibri"/>
          <w:noProof/>
          <w:kern w:val="2"/>
          <w:szCs w:val="22"/>
          <w:lang w:eastAsia="en-GB"/>
        </w:rPr>
      </w:pPr>
      <w:hyperlink w:anchor="_Toc185257677" w:history="1">
        <w:r w:rsidR="00C1168E" w:rsidRPr="00B24548">
          <w:rPr>
            <w:rStyle w:val="Hyperlink"/>
            <w:noProof/>
          </w:rPr>
          <w:t>2.2.</w:t>
        </w:r>
        <w:r w:rsidR="00C1168E">
          <w:rPr>
            <w:rFonts w:ascii="Calibri" w:hAnsi="Calibri"/>
            <w:noProof/>
            <w:kern w:val="2"/>
            <w:szCs w:val="22"/>
            <w:lang w:eastAsia="en-GB"/>
          </w:rPr>
          <w:tab/>
        </w:r>
        <w:r w:rsidR="00C1168E" w:rsidRPr="00B24548">
          <w:rPr>
            <w:rStyle w:val="Hyperlink"/>
            <w:noProof/>
          </w:rPr>
          <w:t>How to apply and the procedures to follow</w:t>
        </w:r>
        <w:r w:rsidR="00C1168E">
          <w:rPr>
            <w:noProof/>
            <w:webHidden/>
          </w:rPr>
          <w:tab/>
        </w:r>
        <w:r w:rsidR="00C1168E">
          <w:rPr>
            <w:noProof/>
            <w:webHidden/>
          </w:rPr>
          <w:fldChar w:fldCharType="begin"/>
        </w:r>
        <w:r w:rsidR="00C1168E">
          <w:rPr>
            <w:noProof/>
            <w:webHidden/>
          </w:rPr>
          <w:instrText xml:space="preserve"> PAGEREF _Toc185257677 \h </w:instrText>
        </w:r>
        <w:r w:rsidR="00C1168E">
          <w:rPr>
            <w:noProof/>
            <w:webHidden/>
          </w:rPr>
        </w:r>
        <w:r w:rsidR="00C1168E">
          <w:rPr>
            <w:noProof/>
            <w:webHidden/>
          </w:rPr>
          <w:fldChar w:fldCharType="separate"/>
        </w:r>
        <w:r w:rsidR="00C1168E">
          <w:rPr>
            <w:noProof/>
            <w:webHidden/>
          </w:rPr>
          <w:t>15</w:t>
        </w:r>
        <w:r w:rsidR="00C1168E">
          <w:rPr>
            <w:noProof/>
            <w:webHidden/>
          </w:rPr>
          <w:fldChar w:fldCharType="end"/>
        </w:r>
      </w:hyperlink>
    </w:p>
    <w:p w14:paraId="63E337BB" w14:textId="77777777" w:rsidR="00C1168E" w:rsidRDefault="007340C5">
      <w:pPr>
        <w:pStyle w:val="Verzeichnis3"/>
        <w:rPr>
          <w:rFonts w:ascii="Calibri" w:hAnsi="Calibri"/>
          <w:kern w:val="2"/>
          <w:sz w:val="22"/>
          <w:szCs w:val="22"/>
          <w:lang w:eastAsia="en-GB"/>
        </w:rPr>
      </w:pPr>
      <w:hyperlink w:anchor="_Toc185257678" w:history="1">
        <w:r w:rsidR="00C1168E" w:rsidRPr="00B24548">
          <w:rPr>
            <w:rStyle w:val="Hyperlink"/>
            <w:rFonts w:ascii="Times New Roman Bold" w:hAnsi="Times New Roman Bold"/>
          </w:rPr>
          <w:t>2.2.1.</w:t>
        </w:r>
        <w:r w:rsidR="00C1168E">
          <w:rPr>
            <w:rFonts w:ascii="Calibri" w:hAnsi="Calibri"/>
            <w:kern w:val="2"/>
            <w:sz w:val="22"/>
            <w:szCs w:val="22"/>
            <w:lang w:eastAsia="en-GB"/>
          </w:rPr>
          <w:tab/>
        </w:r>
        <w:r w:rsidR="00C1168E" w:rsidRPr="00B24548">
          <w:rPr>
            <w:rStyle w:val="Hyperlink"/>
          </w:rPr>
          <w:t>Concept note content</w:t>
        </w:r>
        <w:r w:rsidR="00C1168E">
          <w:rPr>
            <w:webHidden/>
          </w:rPr>
          <w:tab/>
        </w:r>
        <w:r w:rsidR="00C1168E">
          <w:rPr>
            <w:webHidden/>
          </w:rPr>
          <w:fldChar w:fldCharType="begin"/>
        </w:r>
        <w:r w:rsidR="00C1168E">
          <w:rPr>
            <w:webHidden/>
          </w:rPr>
          <w:instrText xml:space="preserve"> PAGEREF _Toc185257678 \h </w:instrText>
        </w:r>
        <w:r w:rsidR="00C1168E">
          <w:rPr>
            <w:webHidden/>
          </w:rPr>
        </w:r>
        <w:r w:rsidR="00C1168E">
          <w:rPr>
            <w:webHidden/>
          </w:rPr>
          <w:fldChar w:fldCharType="separate"/>
        </w:r>
        <w:r w:rsidR="00C1168E">
          <w:rPr>
            <w:webHidden/>
          </w:rPr>
          <w:t>16</w:t>
        </w:r>
        <w:r w:rsidR="00C1168E">
          <w:rPr>
            <w:webHidden/>
          </w:rPr>
          <w:fldChar w:fldCharType="end"/>
        </w:r>
      </w:hyperlink>
    </w:p>
    <w:p w14:paraId="1EDDEB1C" w14:textId="77777777" w:rsidR="00C1168E" w:rsidRDefault="007340C5">
      <w:pPr>
        <w:pStyle w:val="Verzeichnis3"/>
        <w:rPr>
          <w:rFonts w:ascii="Calibri" w:hAnsi="Calibri"/>
          <w:kern w:val="2"/>
          <w:sz w:val="22"/>
          <w:szCs w:val="22"/>
          <w:lang w:eastAsia="en-GB"/>
        </w:rPr>
      </w:pPr>
      <w:hyperlink w:anchor="_Toc185257679" w:history="1">
        <w:r w:rsidR="00C1168E" w:rsidRPr="00B24548">
          <w:rPr>
            <w:rStyle w:val="Hyperlink"/>
            <w:rFonts w:ascii="Times New Roman Bold" w:hAnsi="Times New Roman Bold"/>
          </w:rPr>
          <w:t>2.2.2.</w:t>
        </w:r>
        <w:r w:rsidR="00C1168E">
          <w:rPr>
            <w:rFonts w:ascii="Calibri" w:hAnsi="Calibri"/>
            <w:kern w:val="2"/>
            <w:sz w:val="22"/>
            <w:szCs w:val="22"/>
            <w:lang w:eastAsia="en-GB"/>
          </w:rPr>
          <w:tab/>
        </w:r>
        <w:r w:rsidR="00C1168E" w:rsidRPr="00B24548">
          <w:rPr>
            <w:rStyle w:val="Hyperlink"/>
          </w:rPr>
          <w:t>Where and how to send concept notes</w:t>
        </w:r>
        <w:r w:rsidR="00C1168E">
          <w:rPr>
            <w:webHidden/>
          </w:rPr>
          <w:tab/>
        </w:r>
        <w:r w:rsidR="00C1168E">
          <w:rPr>
            <w:webHidden/>
          </w:rPr>
          <w:fldChar w:fldCharType="begin"/>
        </w:r>
        <w:r w:rsidR="00C1168E">
          <w:rPr>
            <w:webHidden/>
          </w:rPr>
          <w:instrText xml:space="preserve"> PAGEREF _Toc185257679 \h </w:instrText>
        </w:r>
        <w:r w:rsidR="00C1168E">
          <w:rPr>
            <w:webHidden/>
          </w:rPr>
        </w:r>
        <w:r w:rsidR="00C1168E">
          <w:rPr>
            <w:webHidden/>
          </w:rPr>
          <w:fldChar w:fldCharType="separate"/>
        </w:r>
        <w:r w:rsidR="00C1168E">
          <w:rPr>
            <w:webHidden/>
          </w:rPr>
          <w:t>17</w:t>
        </w:r>
        <w:r w:rsidR="00C1168E">
          <w:rPr>
            <w:webHidden/>
          </w:rPr>
          <w:fldChar w:fldCharType="end"/>
        </w:r>
      </w:hyperlink>
    </w:p>
    <w:p w14:paraId="42915369" w14:textId="77777777" w:rsidR="00C1168E" w:rsidRDefault="007340C5">
      <w:pPr>
        <w:pStyle w:val="Verzeichnis3"/>
        <w:rPr>
          <w:rFonts w:ascii="Calibri" w:hAnsi="Calibri"/>
          <w:kern w:val="2"/>
          <w:sz w:val="22"/>
          <w:szCs w:val="22"/>
          <w:lang w:eastAsia="en-GB"/>
        </w:rPr>
      </w:pPr>
      <w:hyperlink w:anchor="_Toc185257680" w:history="1">
        <w:r w:rsidR="00C1168E" w:rsidRPr="00B24548">
          <w:rPr>
            <w:rStyle w:val="Hyperlink"/>
            <w:rFonts w:ascii="Times New Roman Bold" w:hAnsi="Times New Roman Bold"/>
          </w:rPr>
          <w:t>2.2.3.</w:t>
        </w:r>
        <w:r w:rsidR="00C1168E">
          <w:rPr>
            <w:rFonts w:ascii="Calibri" w:hAnsi="Calibri"/>
            <w:kern w:val="2"/>
            <w:sz w:val="22"/>
            <w:szCs w:val="22"/>
            <w:lang w:eastAsia="en-GB"/>
          </w:rPr>
          <w:tab/>
        </w:r>
        <w:r w:rsidR="00C1168E" w:rsidRPr="00B24548">
          <w:rPr>
            <w:rStyle w:val="Hyperlink"/>
          </w:rPr>
          <w:t>Deadline for submission of concept notes</w:t>
        </w:r>
        <w:r w:rsidR="00C1168E">
          <w:rPr>
            <w:webHidden/>
          </w:rPr>
          <w:tab/>
        </w:r>
        <w:r w:rsidR="00C1168E">
          <w:rPr>
            <w:webHidden/>
          </w:rPr>
          <w:fldChar w:fldCharType="begin"/>
        </w:r>
        <w:r w:rsidR="00C1168E">
          <w:rPr>
            <w:webHidden/>
          </w:rPr>
          <w:instrText xml:space="preserve"> PAGEREF _Toc185257680 \h </w:instrText>
        </w:r>
        <w:r w:rsidR="00C1168E">
          <w:rPr>
            <w:webHidden/>
          </w:rPr>
        </w:r>
        <w:r w:rsidR="00C1168E">
          <w:rPr>
            <w:webHidden/>
          </w:rPr>
          <w:fldChar w:fldCharType="separate"/>
        </w:r>
        <w:r w:rsidR="00C1168E">
          <w:rPr>
            <w:webHidden/>
          </w:rPr>
          <w:t>18</w:t>
        </w:r>
        <w:r w:rsidR="00C1168E">
          <w:rPr>
            <w:webHidden/>
          </w:rPr>
          <w:fldChar w:fldCharType="end"/>
        </w:r>
      </w:hyperlink>
    </w:p>
    <w:p w14:paraId="5C39AC7F" w14:textId="77777777" w:rsidR="00C1168E" w:rsidRDefault="007340C5">
      <w:pPr>
        <w:pStyle w:val="Verzeichnis3"/>
        <w:rPr>
          <w:rFonts w:ascii="Calibri" w:hAnsi="Calibri"/>
          <w:kern w:val="2"/>
          <w:sz w:val="22"/>
          <w:szCs w:val="22"/>
          <w:lang w:eastAsia="en-GB"/>
        </w:rPr>
      </w:pPr>
      <w:hyperlink w:anchor="_Toc185257681" w:history="1">
        <w:r w:rsidR="00C1168E" w:rsidRPr="00B24548">
          <w:rPr>
            <w:rStyle w:val="Hyperlink"/>
            <w:rFonts w:ascii="Times New Roman Bold" w:hAnsi="Times New Roman Bold"/>
          </w:rPr>
          <w:t>2.2.4.</w:t>
        </w:r>
        <w:r w:rsidR="00C1168E">
          <w:rPr>
            <w:rFonts w:ascii="Calibri" w:hAnsi="Calibri"/>
            <w:kern w:val="2"/>
            <w:sz w:val="22"/>
            <w:szCs w:val="22"/>
            <w:lang w:eastAsia="en-GB"/>
          </w:rPr>
          <w:tab/>
        </w:r>
        <w:r w:rsidR="00C1168E" w:rsidRPr="00B24548">
          <w:rPr>
            <w:rStyle w:val="Hyperlink"/>
          </w:rPr>
          <w:t>Further information about concept notes</w:t>
        </w:r>
        <w:r w:rsidR="00C1168E">
          <w:rPr>
            <w:webHidden/>
          </w:rPr>
          <w:tab/>
        </w:r>
        <w:r w:rsidR="00C1168E">
          <w:rPr>
            <w:webHidden/>
          </w:rPr>
          <w:fldChar w:fldCharType="begin"/>
        </w:r>
        <w:r w:rsidR="00C1168E">
          <w:rPr>
            <w:webHidden/>
          </w:rPr>
          <w:instrText xml:space="preserve"> PAGEREF _Toc185257681 \h </w:instrText>
        </w:r>
        <w:r w:rsidR="00C1168E">
          <w:rPr>
            <w:webHidden/>
          </w:rPr>
        </w:r>
        <w:r w:rsidR="00C1168E">
          <w:rPr>
            <w:webHidden/>
          </w:rPr>
          <w:fldChar w:fldCharType="separate"/>
        </w:r>
        <w:r w:rsidR="00C1168E">
          <w:rPr>
            <w:webHidden/>
          </w:rPr>
          <w:t>19</w:t>
        </w:r>
        <w:r w:rsidR="00C1168E">
          <w:rPr>
            <w:webHidden/>
          </w:rPr>
          <w:fldChar w:fldCharType="end"/>
        </w:r>
      </w:hyperlink>
    </w:p>
    <w:p w14:paraId="2B9B7DAC" w14:textId="77777777" w:rsidR="00C1168E" w:rsidRDefault="007340C5">
      <w:pPr>
        <w:pStyle w:val="Verzeichnis3"/>
        <w:rPr>
          <w:rFonts w:ascii="Calibri" w:hAnsi="Calibri"/>
          <w:kern w:val="2"/>
          <w:sz w:val="22"/>
          <w:szCs w:val="22"/>
          <w:lang w:eastAsia="en-GB"/>
        </w:rPr>
      </w:pPr>
      <w:hyperlink w:anchor="_Toc185257682" w:history="1">
        <w:r w:rsidR="00C1168E" w:rsidRPr="00B24548">
          <w:rPr>
            <w:rStyle w:val="Hyperlink"/>
            <w:rFonts w:ascii="Times New Roman Bold" w:hAnsi="Times New Roman Bold"/>
          </w:rPr>
          <w:t>2.2.5.</w:t>
        </w:r>
        <w:r w:rsidR="00C1168E">
          <w:rPr>
            <w:rFonts w:ascii="Calibri" w:hAnsi="Calibri"/>
            <w:kern w:val="2"/>
            <w:sz w:val="22"/>
            <w:szCs w:val="22"/>
            <w:lang w:eastAsia="en-GB"/>
          </w:rPr>
          <w:tab/>
        </w:r>
        <w:r w:rsidR="00C1168E" w:rsidRPr="00B24548">
          <w:rPr>
            <w:rStyle w:val="Hyperlink"/>
          </w:rPr>
          <w:t>Full applications</w:t>
        </w:r>
        <w:r w:rsidR="00C1168E">
          <w:rPr>
            <w:webHidden/>
          </w:rPr>
          <w:tab/>
        </w:r>
        <w:r w:rsidR="00C1168E">
          <w:rPr>
            <w:webHidden/>
          </w:rPr>
          <w:fldChar w:fldCharType="begin"/>
        </w:r>
        <w:r w:rsidR="00C1168E">
          <w:rPr>
            <w:webHidden/>
          </w:rPr>
          <w:instrText xml:space="preserve"> PAGEREF _Toc185257682 \h </w:instrText>
        </w:r>
        <w:r w:rsidR="00C1168E">
          <w:rPr>
            <w:webHidden/>
          </w:rPr>
        </w:r>
        <w:r w:rsidR="00C1168E">
          <w:rPr>
            <w:webHidden/>
          </w:rPr>
          <w:fldChar w:fldCharType="separate"/>
        </w:r>
        <w:r w:rsidR="00C1168E">
          <w:rPr>
            <w:webHidden/>
          </w:rPr>
          <w:t>19</w:t>
        </w:r>
        <w:r w:rsidR="00C1168E">
          <w:rPr>
            <w:webHidden/>
          </w:rPr>
          <w:fldChar w:fldCharType="end"/>
        </w:r>
      </w:hyperlink>
    </w:p>
    <w:p w14:paraId="0730FACB" w14:textId="77777777" w:rsidR="00C1168E" w:rsidRDefault="007340C5">
      <w:pPr>
        <w:pStyle w:val="Verzeichnis3"/>
        <w:rPr>
          <w:rFonts w:ascii="Calibri" w:hAnsi="Calibri"/>
          <w:kern w:val="2"/>
          <w:sz w:val="22"/>
          <w:szCs w:val="22"/>
          <w:lang w:eastAsia="en-GB"/>
        </w:rPr>
      </w:pPr>
      <w:hyperlink w:anchor="_Toc185257683" w:history="1">
        <w:r w:rsidR="00C1168E" w:rsidRPr="00B24548">
          <w:rPr>
            <w:rStyle w:val="Hyperlink"/>
            <w:rFonts w:ascii="Times New Roman Bold" w:hAnsi="Times New Roman Bold"/>
          </w:rPr>
          <w:t>2.2.6.</w:t>
        </w:r>
        <w:r w:rsidR="00C1168E">
          <w:rPr>
            <w:rFonts w:ascii="Calibri" w:hAnsi="Calibri"/>
            <w:kern w:val="2"/>
            <w:sz w:val="22"/>
            <w:szCs w:val="22"/>
            <w:lang w:eastAsia="en-GB"/>
          </w:rPr>
          <w:tab/>
        </w:r>
        <w:r w:rsidR="00C1168E" w:rsidRPr="00B24548">
          <w:rPr>
            <w:rStyle w:val="Hyperlink"/>
          </w:rPr>
          <w:t>Where and how to send full applications</w:t>
        </w:r>
        <w:r w:rsidR="00C1168E">
          <w:rPr>
            <w:webHidden/>
          </w:rPr>
          <w:tab/>
        </w:r>
        <w:r w:rsidR="00C1168E">
          <w:rPr>
            <w:webHidden/>
          </w:rPr>
          <w:fldChar w:fldCharType="begin"/>
        </w:r>
        <w:r w:rsidR="00C1168E">
          <w:rPr>
            <w:webHidden/>
          </w:rPr>
          <w:instrText xml:space="preserve"> PAGEREF _Toc185257683 \h </w:instrText>
        </w:r>
        <w:r w:rsidR="00C1168E">
          <w:rPr>
            <w:webHidden/>
          </w:rPr>
        </w:r>
        <w:r w:rsidR="00C1168E">
          <w:rPr>
            <w:webHidden/>
          </w:rPr>
          <w:fldChar w:fldCharType="separate"/>
        </w:r>
        <w:r w:rsidR="00C1168E">
          <w:rPr>
            <w:webHidden/>
          </w:rPr>
          <w:t>21</w:t>
        </w:r>
        <w:r w:rsidR="00C1168E">
          <w:rPr>
            <w:webHidden/>
          </w:rPr>
          <w:fldChar w:fldCharType="end"/>
        </w:r>
      </w:hyperlink>
    </w:p>
    <w:p w14:paraId="7D11DFE9" w14:textId="77777777" w:rsidR="00C1168E" w:rsidRDefault="007340C5">
      <w:pPr>
        <w:pStyle w:val="Verzeichnis3"/>
        <w:rPr>
          <w:rFonts w:ascii="Calibri" w:hAnsi="Calibri"/>
          <w:kern w:val="2"/>
          <w:sz w:val="22"/>
          <w:szCs w:val="22"/>
          <w:lang w:eastAsia="en-GB"/>
        </w:rPr>
      </w:pPr>
      <w:hyperlink w:anchor="_Toc185257684" w:history="1">
        <w:r w:rsidR="00C1168E" w:rsidRPr="00B24548">
          <w:rPr>
            <w:rStyle w:val="Hyperlink"/>
            <w:rFonts w:ascii="Times New Roman Bold" w:hAnsi="Times New Roman Bold"/>
          </w:rPr>
          <w:t>2.2.7.</w:t>
        </w:r>
        <w:r w:rsidR="00C1168E">
          <w:rPr>
            <w:rFonts w:ascii="Calibri" w:hAnsi="Calibri"/>
            <w:kern w:val="2"/>
            <w:sz w:val="22"/>
            <w:szCs w:val="22"/>
            <w:lang w:eastAsia="en-GB"/>
          </w:rPr>
          <w:tab/>
        </w:r>
        <w:r w:rsidR="00C1168E" w:rsidRPr="00B24548">
          <w:rPr>
            <w:rStyle w:val="Hyperlink"/>
          </w:rPr>
          <w:t>Deadline for submission of full applications</w:t>
        </w:r>
        <w:r w:rsidR="00C1168E">
          <w:rPr>
            <w:webHidden/>
          </w:rPr>
          <w:tab/>
        </w:r>
        <w:r w:rsidR="00C1168E">
          <w:rPr>
            <w:webHidden/>
          </w:rPr>
          <w:fldChar w:fldCharType="begin"/>
        </w:r>
        <w:r w:rsidR="00C1168E">
          <w:rPr>
            <w:webHidden/>
          </w:rPr>
          <w:instrText xml:space="preserve"> PAGEREF _Toc185257684 \h </w:instrText>
        </w:r>
        <w:r w:rsidR="00C1168E">
          <w:rPr>
            <w:webHidden/>
          </w:rPr>
        </w:r>
        <w:r w:rsidR="00C1168E">
          <w:rPr>
            <w:webHidden/>
          </w:rPr>
          <w:fldChar w:fldCharType="separate"/>
        </w:r>
        <w:r w:rsidR="00C1168E">
          <w:rPr>
            <w:webHidden/>
          </w:rPr>
          <w:t>22</w:t>
        </w:r>
        <w:r w:rsidR="00C1168E">
          <w:rPr>
            <w:webHidden/>
          </w:rPr>
          <w:fldChar w:fldCharType="end"/>
        </w:r>
      </w:hyperlink>
    </w:p>
    <w:p w14:paraId="31C7E741" w14:textId="77777777" w:rsidR="00C1168E" w:rsidRDefault="007340C5">
      <w:pPr>
        <w:pStyle w:val="Verzeichnis3"/>
        <w:rPr>
          <w:rFonts w:ascii="Calibri" w:hAnsi="Calibri"/>
          <w:kern w:val="2"/>
          <w:sz w:val="22"/>
          <w:szCs w:val="22"/>
          <w:lang w:eastAsia="en-GB"/>
        </w:rPr>
      </w:pPr>
      <w:hyperlink w:anchor="_Toc185257685" w:history="1">
        <w:r w:rsidR="00C1168E" w:rsidRPr="00B24548">
          <w:rPr>
            <w:rStyle w:val="Hyperlink"/>
            <w:rFonts w:ascii="Times New Roman Bold" w:hAnsi="Times New Roman Bold"/>
          </w:rPr>
          <w:t>2.2.8.</w:t>
        </w:r>
        <w:r w:rsidR="00C1168E">
          <w:rPr>
            <w:rFonts w:ascii="Calibri" w:hAnsi="Calibri"/>
            <w:kern w:val="2"/>
            <w:sz w:val="22"/>
            <w:szCs w:val="22"/>
            <w:lang w:eastAsia="en-GB"/>
          </w:rPr>
          <w:tab/>
        </w:r>
        <w:r w:rsidR="00C1168E" w:rsidRPr="00B24548">
          <w:rPr>
            <w:rStyle w:val="Hyperlink"/>
          </w:rPr>
          <w:t>Further information about full applications</w:t>
        </w:r>
        <w:r w:rsidR="00C1168E">
          <w:rPr>
            <w:webHidden/>
          </w:rPr>
          <w:tab/>
        </w:r>
        <w:r w:rsidR="00C1168E">
          <w:rPr>
            <w:webHidden/>
          </w:rPr>
          <w:fldChar w:fldCharType="begin"/>
        </w:r>
        <w:r w:rsidR="00C1168E">
          <w:rPr>
            <w:webHidden/>
          </w:rPr>
          <w:instrText xml:space="preserve"> PAGEREF _Toc185257685 \h </w:instrText>
        </w:r>
        <w:r w:rsidR="00C1168E">
          <w:rPr>
            <w:webHidden/>
          </w:rPr>
        </w:r>
        <w:r w:rsidR="00C1168E">
          <w:rPr>
            <w:webHidden/>
          </w:rPr>
          <w:fldChar w:fldCharType="separate"/>
        </w:r>
        <w:r w:rsidR="00C1168E">
          <w:rPr>
            <w:webHidden/>
          </w:rPr>
          <w:t>23</w:t>
        </w:r>
        <w:r w:rsidR="00C1168E">
          <w:rPr>
            <w:webHidden/>
          </w:rPr>
          <w:fldChar w:fldCharType="end"/>
        </w:r>
      </w:hyperlink>
    </w:p>
    <w:p w14:paraId="5CFF7AF5" w14:textId="77777777" w:rsidR="00C1168E" w:rsidRDefault="007340C5">
      <w:pPr>
        <w:pStyle w:val="Verzeichnis2"/>
        <w:rPr>
          <w:rFonts w:ascii="Calibri" w:hAnsi="Calibri"/>
          <w:noProof/>
          <w:kern w:val="2"/>
          <w:szCs w:val="22"/>
          <w:lang w:eastAsia="en-GB"/>
        </w:rPr>
      </w:pPr>
      <w:hyperlink w:anchor="_Toc185257686" w:history="1">
        <w:r w:rsidR="00C1168E" w:rsidRPr="00B24548">
          <w:rPr>
            <w:rStyle w:val="Hyperlink"/>
            <w:i/>
            <w:noProof/>
          </w:rPr>
          <w:t>2.3.</w:t>
        </w:r>
        <w:r w:rsidR="00C1168E">
          <w:rPr>
            <w:rFonts w:ascii="Calibri" w:hAnsi="Calibri"/>
            <w:noProof/>
            <w:kern w:val="2"/>
            <w:szCs w:val="22"/>
            <w:lang w:eastAsia="en-GB"/>
          </w:rPr>
          <w:tab/>
        </w:r>
        <w:r w:rsidR="00C1168E" w:rsidRPr="00B24548">
          <w:rPr>
            <w:rStyle w:val="Hyperlink"/>
            <w:noProof/>
          </w:rPr>
          <w:t>Evaluation</w:t>
        </w:r>
        <w:r w:rsidR="00C1168E">
          <w:rPr>
            <w:noProof/>
            <w:webHidden/>
          </w:rPr>
          <w:tab/>
        </w:r>
        <w:r w:rsidR="00C1168E">
          <w:rPr>
            <w:noProof/>
            <w:webHidden/>
          </w:rPr>
          <w:fldChar w:fldCharType="begin"/>
        </w:r>
        <w:r w:rsidR="00C1168E">
          <w:rPr>
            <w:noProof/>
            <w:webHidden/>
          </w:rPr>
          <w:instrText xml:space="preserve"> PAGEREF _Toc185257686 \h </w:instrText>
        </w:r>
        <w:r w:rsidR="00C1168E">
          <w:rPr>
            <w:noProof/>
            <w:webHidden/>
          </w:rPr>
        </w:r>
        <w:r w:rsidR="00C1168E">
          <w:rPr>
            <w:noProof/>
            <w:webHidden/>
          </w:rPr>
          <w:fldChar w:fldCharType="separate"/>
        </w:r>
        <w:r w:rsidR="00C1168E">
          <w:rPr>
            <w:noProof/>
            <w:webHidden/>
          </w:rPr>
          <w:t>23</w:t>
        </w:r>
        <w:r w:rsidR="00C1168E">
          <w:rPr>
            <w:noProof/>
            <w:webHidden/>
          </w:rPr>
          <w:fldChar w:fldCharType="end"/>
        </w:r>
      </w:hyperlink>
    </w:p>
    <w:p w14:paraId="501CFABF" w14:textId="77777777" w:rsidR="00C1168E" w:rsidRDefault="007340C5">
      <w:pPr>
        <w:pStyle w:val="Verzeichnis3"/>
        <w:rPr>
          <w:rFonts w:ascii="Calibri" w:hAnsi="Calibri"/>
          <w:kern w:val="2"/>
          <w:sz w:val="22"/>
          <w:szCs w:val="22"/>
          <w:lang w:eastAsia="en-GB"/>
        </w:rPr>
      </w:pPr>
      <w:hyperlink w:anchor="_Toc185257687" w:history="1">
        <w:r w:rsidR="00C1168E" w:rsidRPr="00B24548">
          <w:rPr>
            <w:rStyle w:val="Hyperlink"/>
            <w:rFonts w:ascii="Times New Roman Bold" w:hAnsi="Times New Roman Bold"/>
          </w:rPr>
          <w:t>2.3.1.</w:t>
        </w:r>
        <w:r w:rsidR="00C1168E">
          <w:rPr>
            <w:rFonts w:ascii="Calibri" w:hAnsi="Calibri"/>
            <w:kern w:val="2"/>
            <w:sz w:val="22"/>
            <w:szCs w:val="22"/>
            <w:lang w:eastAsia="en-GB"/>
          </w:rPr>
          <w:tab/>
        </w:r>
        <w:r w:rsidR="00C1168E" w:rsidRPr="00B24548">
          <w:rPr>
            <w:rStyle w:val="Hyperlink"/>
          </w:rPr>
          <w:t>STEP 1: [OPENING &amp;]ADMINISTRATIVE CHECKS AND CONCEPT NOTE EVALUATION</w:t>
        </w:r>
        <w:r w:rsidR="00C1168E">
          <w:rPr>
            <w:webHidden/>
          </w:rPr>
          <w:tab/>
        </w:r>
        <w:r w:rsidR="00C1168E">
          <w:rPr>
            <w:webHidden/>
          </w:rPr>
          <w:fldChar w:fldCharType="begin"/>
        </w:r>
        <w:r w:rsidR="00C1168E">
          <w:rPr>
            <w:webHidden/>
          </w:rPr>
          <w:instrText xml:space="preserve"> PAGEREF _Toc185257687 \h </w:instrText>
        </w:r>
        <w:r w:rsidR="00C1168E">
          <w:rPr>
            <w:webHidden/>
          </w:rPr>
        </w:r>
        <w:r w:rsidR="00C1168E">
          <w:rPr>
            <w:webHidden/>
          </w:rPr>
          <w:fldChar w:fldCharType="separate"/>
        </w:r>
        <w:r w:rsidR="00C1168E">
          <w:rPr>
            <w:webHidden/>
          </w:rPr>
          <w:t>23</w:t>
        </w:r>
        <w:r w:rsidR="00C1168E">
          <w:rPr>
            <w:webHidden/>
          </w:rPr>
          <w:fldChar w:fldCharType="end"/>
        </w:r>
      </w:hyperlink>
    </w:p>
    <w:p w14:paraId="02CC40E4" w14:textId="77777777" w:rsidR="00C1168E" w:rsidRDefault="007340C5">
      <w:pPr>
        <w:pStyle w:val="Verzeichnis3"/>
        <w:rPr>
          <w:rFonts w:ascii="Calibri" w:hAnsi="Calibri"/>
          <w:kern w:val="2"/>
          <w:sz w:val="22"/>
          <w:szCs w:val="22"/>
          <w:lang w:eastAsia="en-GB"/>
        </w:rPr>
      </w:pPr>
      <w:hyperlink w:anchor="_Toc185257688" w:history="1">
        <w:r w:rsidR="00C1168E" w:rsidRPr="00B24548">
          <w:rPr>
            <w:rStyle w:val="Hyperlink"/>
            <w:rFonts w:ascii="Times New Roman Bold" w:hAnsi="Times New Roman Bold"/>
          </w:rPr>
          <w:t>2.3.2.</w:t>
        </w:r>
        <w:r w:rsidR="00C1168E">
          <w:rPr>
            <w:rFonts w:ascii="Calibri" w:hAnsi="Calibri"/>
            <w:kern w:val="2"/>
            <w:sz w:val="22"/>
            <w:szCs w:val="22"/>
            <w:lang w:eastAsia="en-GB"/>
          </w:rPr>
          <w:tab/>
        </w:r>
        <w:r w:rsidR="00C1168E" w:rsidRPr="00B24548">
          <w:rPr>
            <w:rStyle w:val="Hyperlink"/>
          </w:rPr>
          <w:t>STEP 2: EVALUATION OF THE FULL APPLICATION</w:t>
        </w:r>
        <w:r w:rsidR="00C1168E">
          <w:rPr>
            <w:webHidden/>
          </w:rPr>
          <w:tab/>
        </w:r>
        <w:r w:rsidR="00C1168E">
          <w:rPr>
            <w:webHidden/>
          </w:rPr>
          <w:fldChar w:fldCharType="begin"/>
        </w:r>
        <w:r w:rsidR="00C1168E">
          <w:rPr>
            <w:webHidden/>
          </w:rPr>
          <w:instrText xml:space="preserve"> PAGEREF _Toc185257688 \h </w:instrText>
        </w:r>
        <w:r w:rsidR="00C1168E">
          <w:rPr>
            <w:webHidden/>
          </w:rPr>
        </w:r>
        <w:r w:rsidR="00C1168E">
          <w:rPr>
            <w:webHidden/>
          </w:rPr>
          <w:fldChar w:fldCharType="separate"/>
        </w:r>
        <w:r w:rsidR="00C1168E">
          <w:rPr>
            <w:webHidden/>
          </w:rPr>
          <w:t>24</w:t>
        </w:r>
        <w:r w:rsidR="00C1168E">
          <w:rPr>
            <w:webHidden/>
          </w:rPr>
          <w:fldChar w:fldCharType="end"/>
        </w:r>
      </w:hyperlink>
    </w:p>
    <w:p w14:paraId="70E21396" w14:textId="77777777" w:rsidR="00C1168E" w:rsidRDefault="007340C5">
      <w:pPr>
        <w:pStyle w:val="Verzeichnis3"/>
        <w:rPr>
          <w:rFonts w:ascii="Calibri" w:hAnsi="Calibri"/>
          <w:kern w:val="2"/>
          <w:sz w:val="22"/>
          <w:szCs w:val="22"/>
          <w:lang w:eastAsia="en-GB"/>
        </w:rPr>
      </w:pPr>
      <w:hyperlink w:anchor="_Toc185257689" w:history="1">
        <w:r w:rsidR="00C1168E" w:rsidRPr="00B24548">
          <w:rPr>
            <w:rStyle w:val="Hyperlink"/>
            <w:rFonts w:ascii="Times New Roman Bold" w:hAnsi="Times New Roman Bold"/>
          </w:rPr>
          <w:t>2.3.3.</w:t>
        </w:r>
        <w:r w:rsidR="00C1168E">
          <w:rPr>
            <w:rFonts w:ascii="Calibri" w:hAnsi="Calibri"/>
            <w:kern w:val="2"/>
            <w:sz w:val="22"/>
            <w:szCs w:val="22"/>
            <w:lang w:eastAsia="en-GB"/>
          </w:rPr>
          <w:tab/>
        </w:r>
        <w:r w:rsidR="00C1168E" w:rsidRPr="00B24548">
          <w:rPr>
            <w:rStyle w:val="Hyperlink"/>
          </w:rPr>
          <w:t>STEP 3: VERIFICATION OF ELIGIBILITY OF THE APPLICANTS AND AFFILIATED ENTITY(IES) AND OTHER SUPPORTING DOCUMENTS</w:t>
        </w:r>
        <w:r w:rsidR="00C1168E">
          <w:rPr>
            <w:webHidden/>
          </w:rPr>
          <w:tab/>
        </w:r>
        <w:r w:rsidR="00C1168E">
          <w:rPr>
            <w:webHidden/>
          </w:rPr>
          <w:fldChar w:fldCharType="begin"/>
        </w:r>
        <w:r w:rsidR="00C1168E">
          <w:rPr>
            <w:webHidden/>
          </w:rPr>
          <w:instrText xml:space="preserve"> PAGEREF _Toc185257689 \h </w:instrText>
        </w:r>
        <w:r w:rsidR="00C1168E">
          <w:rPr>
            <w:webHidden/>
          </w:rPr>
        </w:r>
        <w:r w:rsidR="00C1168E">
          <w:rPr>
            <w:webHidden/>
          </w:rPr>
          <w:fldChar w:fldCharType="separate"/>
        </w:r>
        <w:r w:rsidR="00C1168E">
          <w:rPr>
            <w:webHidden/>
          </w:rPr>
          <w:t>27</w:t>
        </w:r>
        <w:r w:rsidR="00C1168E">
          <w:rPr>
            <w:webHidden/>
          </w:rPr>
          <w:fldChar w:fldCharType="end"/>
        </w:r>
      </w:hyperlink>
    </w:p>
    <w:p w14:paraId="2C165A81" w14:textId="77777777" w:rsidR="00C1168E" w:rsidRDefault="007340C5">
      <w:pPr>
        <w:pStyle w:val="Verzeichnis2"/>
        <w:rPr>
          <w:rFonts w:ascii="Calibri" w:hAnsi="Calibri"/>
          <w:noProof/>
          <w:kern w:val="2"/>
          <w:szCs w:val="22"/>
          <w:lang w:eastAsia="en-GB"/>
        </w:rPr>
      </w:pPr>
      <w:hyperlink w:anchor="_Toc185257690" w:history="1">
        <w:r w:rsidR="00C1168E" w:rsidRPr="00B24548">
          <w:rPr>
            <w:rStyle w:val="Hyperlink"/>
            <w:noProof/>
          </w:rPr>
          <w:t>2.4.</w:t>
        </w:r>
        <w:r w:rsidR="00C1168E">
          <w:rPr>
            <w:rFonts w:ascii="Calibri" w:hAnsi="Calibri"/>
            <w:noProof/>
            <w:kern w:val="2"/>
            <w:szCs w:val="22"/>
            <w:lang w:eastAsia="en-GB"/>
          </w:rPr>
          <w:tab/>
        </w:r>
        <w:r w:rsidR="00C1168E" w:rsidRPr="00B24548">
          <w:rPr>
            <w:rStyle w:val="Hyperlink"/>
            <w:noProof/>
          </w:rPr>
          <w:t>Award decision</w:t>
        </w:r>
        <w:r w:rsidR="00C1168E">
          <w:rPr>
            <w:noProof/>
            <w:webHidden/>
          </w:rPr>
          <w:tab/>
        </w:r>
        <w:r w:rsidR="00C1168E">
          <w:rPr>
            <w:noProof/>
            <w:webHidden/>
          </w:rPr>
          <w:fldChar w:fldCharType="begin"/>
        </w:r>
        <w:r w:rsidR="00C1168E">
          <w:rPr>
            <w:noProof/>
            <w:webHidden/>
          </w:rPr>
          <w:instrText xml:space="preserve"> PAGEREF _Toc185257690 \h </w:instrText>
        </w:r>
        <w:r w:rsidR="00C1168E">
          <w:rPr>
            <w:noProof/>
            <w:webHidden/>
          </w:rPr>
        </w:r>
        <w:r w:rsidR="00C1168E">
          <w:rPr>
            <w:noProof/>
            <w:webHidden/>
          </w:rPr>
          <w:fldChar w:fldCharType="separate"/>
        </w:r>
        <w:r w:rsidR="00C1168E">
          <w:rPr>
            <w:noProof/>
            <w:webHidden/>
          </w:rPr>
          <w:t>27</w:t>
        </w:r>
        <w:r w:rsidR="00C1168E">
          <w:rPr>
            <w:noProof/>
            <w:webHidden/>
          </w:rPr>
          <w:fldChar w:fldCharType="end"/>
        </w:r>
      </w:hyperlink>
    </w:p>
    <w:p w14:paraId="709ADEC0" w14:textId="77777777" w:rsidR="00C1168E" w:rsidRDefault="007340C5">
      <w:pPr>
        <w:pStyle w:val="Verzeichnis2"/>
        <w:rPr>
          <w:rFonts w:ascii="Calibri" w:hAnsi="Calibri"/>
          <w:noProof/>
          <w:kern w:val="2"/>
          <w:szCs w:val="22"/>
          <w:lang w:eastAsia="en-GB"/>
        </w:rPr>
      </w:pPr>
      <w:hyperlink w:anchor="_Toc185257691" w:history="1">
        <w:r w:rsidR="00C1168E" w:rsidRPr="00B24548">
          <w:rPr>
            <w:rStyle w:val="Hyperlink"/>
            <w:noProof/>
          </w:rPr>
          <w:t>2.5.</w:t>
        </w:r>
        <w:r w:rsidR="00C1168E">
          <w:rPr>
            <w:rFonts w:ascii="Calibri" w:hAnsi="Calibri"/>
            <w:noProof/>
            <w:kern w:val="2"/>
            <w:szCs w:val="22"/>
            <w:lang w:eastAsia="en-GB"/>
          </w:rPr>
          <w:tab/>
        </w:r>
        <w:r w:rsidR="00C1168E" w:rsidRPr="00B24548">
          <w:rPr>
            <w:rStyle w:val="Hyperlink"/>
            <w:noProof/>
          </w:rPr>
          <w:t>Notification of the Contracting Authority’s decision</w:t>
        </w:r>
        <w:r w:rsidR="00C1168E">
          <w:rPr>
            <w:noProof/>
            <w:webHidden/>
          </w:rPr>
          <w:tab/>
        </w:r>
        <w:r w:rsidR="00C1168E">
          <w:rPr>
            <w:noProof/>
            <w:webHidden/>
          </w:rPr>
          <w:fldChar w:fldCharType="begin"/>
        </w:r>
        <w:r w:rsidR="00C1168E">
          <w:rPr>
            <w:noProof/>
            <w:webHidden/>
          </w:rPr>
          <w:instrText xml:space="preserve"> PAGEREF _Toc185257691 \h </w:instrText>
        </w:r>
        <w:r w:rsidR="00C1168E">
          <w:rPr>
            <w:noProof/>
            <w:webHidden/>
          </w:rPr>
        </w:r>
        <w:r w:rsidR="00C1168E">
          <w:rPr>
            <w:noProof/>
            <w:webHidden/>
          </w:rPr>
          <w:fldChar w:fldCharType="separate"/>
        </w:r>
        <w:r w:rsidR="00C1168E">
          <w:rPr>
            <w:noProof/>
            <w:webHidden/>
          </w:rPr>
          <w:t>27</w:t>
        </w:r>
        <w:r w:rsidR="00C1168E">
          <w:rPr>
            <w:noProof/>
            <w:webHidden/>
          </w:rPr>
          <w:fldChar w:fldCharType="end"/>
        </w:r>
      </w:hyperlink>
    </w:p>
    <w:p w14:paraId="00606E6E" w14:textId="77777777" w:rsidR="00C1168E" w:rsidRDefault="007340C5">
      <w:pPr>
        <w:pStyle w:val="Verzeichnis2"/>
        <w:rPr>
          <w:rFonts w:ascii="Calibri" w:hAnsi="Calibri"/>
          <w:noProof/>
          <w:kern w:val="2"/>
          <w:szCs w:val="22"/>
          <w:lang w:eastAsia="en-GB"/>
        </w:rPr>
      </w:pPr>
      <w:hyperlink w:anchor="_Toc185257692" w:history="1">
        <w:r w:rsidR="00C1168E" w:rsidRPr="00B24548">
          <w:rPr>
            <w:rStyle w:val="Hyperlink"/>
            <w:noProof/>
          </w:rPr>
          <w:t>2.6.</w:t>
        </w:r>
        <w:r w:rsidR="00C1168E">
          <w:rPr>
            <w:rFonts w:ascii="Calibri" w:hAnsi="Calibri"/>
            <w:noProof/>
            <w:kern w:val="2"/>
            <w:szCs w:val="22"/>
            <w:lang w:eastAsia="en-GB"/>
          </w:rPr>
          <w:tab/>
        </w:r>
        <w:r w:rsidR="00C1168E" w:rsidRPr="00B24548">
          <w:rPr>
            <w:rStyle w:val="Hyperlink"/>
            <w:noProof/>
          </w:rPr>
          <w:t>Signature of the grant contract</w:t>
        </w:r>
        <w:r w:rsidR="00C1168E">
          <w:rPr>
            <w:noProof/>
            <w:webHidden/>
          </w:rPr>
          <w:tab/>
        </w:r>
        <w:r w:rsidR="00C1168E">
          <w:rPr>
            <w:noProof/>
            <w:webHidden/>
          </w:rPr>
          <w:fldChar w:fldCharType="begin"/>
        </w:r>
        <w:r w:rsidR="00C1168E">
          <w:rPr>
            <w:noProof/>
            <w:webHidden/>
          </w:rPr>
          <w:instrText xml:space="preserve"> PAGEREF _Toc185257692 \h </w:instrText>
        </w:r>
        <w:r w:rsidR="00C1168E">
          <w:rPr>
            <w:noProof/>
            <w:webHidden/>
          </w:rPr>
        </w:r>
        <w:r w:rsidR="00C1168E">
          <w:rPr>
            <w:noProof/>
            <w:webHidden/>
          </w:rPr>
          <w:fldChar w:fldCharType="separate"/>
        </w:r>
        <w:r w:rsidR="00C1168E">
          <w:rPr>
            <w:noProof/>
            <w:webHidden/>
          </w:rPr>
          <w:t>28</w:t>
        </w:r>
        <w:r w:rsidR="00C1168E">
          <w:rPr>
            <w:noProof/>
            <w:webHidden/>
          </w:rPr>
          <w:fldChar w:fldCharType="end"/>
        </w:r>
      </w:hyperlink>
    </w:p>
    <w:p w14:paraId="0E791D0C" w14:textId="77777777" w:rsidR="00C1168E" w:rsidRDefault="007340C5">
      <w:pPr>
        <w:pStyle w:val="Verzeichnis2"/>
        <w:rPr>
          <w:rFonts w:ascii="Calibri" w:hAnsi="Calibri"/>
          <w:noProof/>
          <w:kern w:val="2"/>
          <w:szCs w:val="22"/>
          <w:lang w:eastAsia="en-GB"/>
        </w:rPr>
      </w:pPr>
      <w:hyperlink w:anchor="_Toc185257693" w:history="1">
        <w:r w:rsidR="00C1168E" w:rsidRPr="00B24548">
          <w:rPr>
            <w:rStyle w:val="Hyperlink"/>
            <w:noProof/>
          </w:rPr>
          <w:t>2.7.</w:t>
        </w:r>
        <w:r w:rsidR="00C1168E">
          <w:rPr>
            <w:rFonts w:ascii="Calibri" w:hAnsi="Calibri"/>
            <w:noProof/>
            <w:kern w:val="2"/>
            <w:szCs w:val="22"/>
            <w:lang w:eastAsia="en-GB"/>
          </w:rPr>
          <w:tab/>
        </w:r>
        <w:r w:rsidR="00C1168E" w:rsidRPr="00B24548">
          <w:rPr>
            <w:rStyle w:val="Hyperlink"/>
            <w:noProof/>
          </w:rPr>
          <w:t>Indicative timetable</w:t>
        </w:r>
        <w:r w:rsidR="00C1168E">
          <w:rPr>
            <w:noProof/>
            <w:webHidden/>
          </w:rPr>
          <w:tab/>
        </w:r>
        <w:r w:rsidR="00C1168E">
          <w:rPr>
            <w:noProof/>
            <w:webHidden/>
          </w:rPr>
          <w:fldChar w:fldCharType="begin"/>
        </w:r>
        <w:r w:rsidR="00C1168E">
          <w:rPr>
            <w:noProof/>
            <w:webHidden/>
          </w:rPr>
          <w:instrText xml:space="preserve"> PAGEREF _Toc185257693 \h </w:instrText>
        </w:r>
        <w:r w:rsidR="00C1168E">
          <w:rPr>
            <w:noProof/>
            <w:webHidden/>
          </w:rPr>
        </w:r>
        <w:r w:rsidR="00C1168E">
          <w:rPr>
            <w:noProof/>
            <w:webHidden/>
          </w:rPr>
          <w:fldChar w:fldCharType="separate"/>
        </w:r>
        <w:r w:rsidR="00C1168E">
          <w:rPr>
            <w:noProof/>
            <w:webHidden/>
          </w:rPr>
          <w:t>28</w:t>
        </w:r>
        <w:r w:rsidR="00C1168E">
          <w:rPr>
            <w:noProof/>
            <w:webHidden/>
          </w:rPr>
          <w:fldChar w:fldCharType="end"/>
        </w:r>
      </w:hyperlink>
    </w:p>
    <w:p w14:paraId="575C19D8" w14:textId="77777777" w:rsidR="00C1168E" w:rsidRDefault="007340C5">
      <w:pPr>
        <w:pStyle w:val="Verzeichnis2"/>
        <w:rPr>
          <w:rFonts w:ascii="Calibri" w:hAnsi="Calibri"/>
          <w:noProof/>
          <w:kern w:val="2"/>
          <w:szCs w:val="22"/>
          <w:lang w:eastAsia="en-GB"/>
        </w:rPr>
      </w:pPr>
      <w:hyperlink w:anchor="_Toc185257694" w:history="1">
        <w:r w:rsidR="00C1168E" w:rsidRPr="00B24548">
          <w:rPr>
            <w:rStyle w:val="Hyperlink"/>
            <w:noProof/>
          </w:rPr>
          <w:t>2.8.</w:t>
        </w:r>
        <w:r w:rsidR="00C1168E">
          <w:rPr>
            <w:rFonts w:ascii="Calibri" w:hAnsi="Calibri"/>
            <w:noProof/>
            <w:kern w:val="2"/>
            <w:szCs w:val="22"/>
            <w:lang w:eastAsia="en-GB"/>
          </w:rPr>
          <w:tab/>
        </w:r>
        <w:r w:rsidR="00C1168E" w:rsidRPr="00B24548">
          <w:rPr>
            <w:rStyle w:val="Hyperlink"/>
            <w:noProof/>
          </w:rPr>
          <w:t>Early detection and exclusion system</w:t>
        </w:r>
        <w:r w:rsidR="00C1168E">
          <w:rPr>
            <w:noProof/>
            <w:webHidden/>
          </w:rPr>
          <w:tab/>
        </w:r>
        <w:r w:rsidR="00C1168E">
          <w:rPr>
            <w:noProof/>
            <w:webHidden/>
          </w:rPr>
          <w:fldChar w:fldCharType="begin"/>
        </w:r>
        <w:r w:rsidR="00C1168E">
          <w:rPr>
            <w:noProof/>
            <w:webHidden/>
          </w:rPr>
          <w:instrText xml:space="preserve"> PAGEREF _Toc185257694 \h </w:instrText>
        </w:r>
        <w:r w:rsidR="00C1168E">
          <w:rPr>
            <w:noProof/>
            <w:webHidden/>
          </w:rPr>
        </w:r>
        <w:r w:rsidR="00C1168E">
          <w:rPr>
            <w:noProof/>
            <w:webHidden/>
          </w:rPr>
          <w:fldChar w:fldCharType="separate"/>
        </w:r>
        <w:r w:rsidR="00C1168E">
          <w:rPr>
            <w:noProof/>
            <w:webHidden/>
          </w:rPr>
          <w:t>29</w:t>
        </w:r>
        <w:r w:rsidR="00C1168E">
          <w:rPr>
            <w:noProof/>
            <w:webHidden/>
          </w:rPr>
          <w:fldChar w:fldCharType="end"/>
        </w:r>
      </w:hyperlink>
    </w:p>
    <w:p w14:paraId="03585C6E" w14:textId="77777777" w:rsidR="00C1168E" w:rsidRDefault="007340C5">
      <w:pPr>
        <w:pStyle w:val="Verzeichnis1"/>
        <w:rPr>
          <w:rFonts w:ascii="Calibri" w:hAnsi="Calibri"/>
          <w:b w:val="0"/>
          <w:caps w:val="0"/>
          <w:noProof/>
          <w:kern w:val="2"/>
          <w:szCs w:val="22"/>
          <w:lang w:eastAsia="en-GB"/>
        </w:rPr>
      </w:pPr>
      <w:hyperlink w:anchor="_Toc185257695" w:history="1">
        <w:r w:rsidR="00C1168E" w:rsidRPr="00B24548">
          <w:rPr>
            <w:rStyle w:val="Hyperlink"/>
            <w:noProof/>
          </w:rPr>
          <w:t>3.</w:t>
        </w:r>
        <w:r w:rsidR="00C1168E">
          <w:rPr>
            <w:rFonts w:ascii="Calibri" w:hAnsi="Calibri"/>
            <w:b w:val="0"/>
            <w:caps w:val="0"/>
            <w:noProof/>
            <w:kern w:val="2"/>
            <w:szCs w:val="22"/>
            <w:lang w:eastAsia="en-GB"/>
          </w:rPr>
          <w:tab/>
        </w:r>
        <w:r w:rsidR="00C1168E" w:rsidRPr="00B24548">
          <w:rPr>
            <w:rStyle w:val="Hyperlink"/>
            <w:noProof/>
          </w:rPr>
          <w:t>annexes</w:t>
        </w:r>
        <w:r w:rsidR="00C1168E">
          <w:rPr>
            <w:noProof/>
            <w:webHidden/>
          </w:rPr>
          <w:tab/>
        </w:r>
        <w:r w:rsidR="00C1168E">
          <w:rPr>
            <w:noProof/>
            <w:webHidden/>
          </w:rPr>
          <w:fldChar w:fldCharType="begin"/>
        </w:r>
        <w:r w:rsidR="00C1168E">
          <w:rPr>
            <w:noProof/>
            <w:webHidden/>
          </w:rPr>
          <w:instrText xml:space="preserve"> PAGEREF _Toc185257695 \h </w:instrText>
        </w:r>
        <w:r w:rsidR="00C1168E">
          <w:rPr>
            <w:noProof/>
            <w:webHidden/>
          </w:rPr>
        </w:r>
        <w:r w:rsidR="00C1168E">
          <w:rPr>
            <w:noProof/>
            <w:webHidden/>
          </w:rPr>
          <w:fldChar w:fldCharType="separate"/>
        </w:r>
        <w:r w:rsidR="00C1168E">
          <w:rPr>
            <w:noProof/>
            <w:webHidden/>
          </w:rPr>
          <w:t>29</w:t>
        </w:r>
        <w:r w:rsidR="00C1168E">
          <w:rPr>
            <w:noProof/>
            <w:webHidden/>
          </w:rPr>
          <w:fldChar w:fldCharType="end"/>
        </w:r>
      </w:hyperlink>
    </w:p>
    <w:p w14:paraId="6FDE8F4C" w14:textId="77777777" w:rsidR="00491F8A" w:rsidRPr="00807DAF" w:rsidRDefault="001417D6" w:rsidP="00495849">
      <w:pPr>
        <w:rPr>
          <w:sz w:val="28"/>
          <w:szCs w:val="28"/>
        </w:rPr>
        <w:sectPr w:rsidR="00491F8A" w:rsidRPr="00807DAF" w:rsidSect="002D4ACD">
          <w:footerReference w:type="first" r:id="rId15"/>
          <w:pgSz w:w="11906" w:h="16838" w:code="9"/>
          <w:pgMar w:top="1021" w:right="1134" w:bottom="1021" w:left="1134" w:header="567" w:footer="545" w:gutter="0"/>
          <w:cols w:space="708"/>
          <w:titlePg/>
        </w:sectPr>
      </w:pPr>
      <w:r>
        <w:rPr>
          <w:b/>
          <w:caps/>
        </w:rPr>
        <w:fldChar w:fldCharType="end"/>
      </w:r>
    </w:p>
    <w:p w14:paraId="482C3E4F" w14:textId="04AB1A28" w:rsidR="0061244D" w:rsidRPr="00807DAF" w:rsidRDefault="0061244D" w:rsidP="00EA610C">
      <w:pPr>
        <w:pStyle w:val="Guidelines1"/>
        <w:numPr>
          <w:ilvl w:val="0"/>
          <w:numId w:val="6"/>
        </w:numPr>
        <w:tabs>
          <w:tab w:val="num" w:pos="567"/>
        </w:tabs>
        <w:spacing w:before="0" w:after="360" w:line="240" w:lineRule="auto"/>
      </w:pPr>
      <w:bookmarkStart w:id="3" w:name="_Toc185257667"/>
      <w:r w:rsidRPr="00851DDA">
        <w:lastRenderedPageBreak/>
        <w:t xml:space="preserve">Support </w:t>
      </w:r>
      <w:r w:rsidR="006E4060">
        <w:t>for</w:t>
      </w:r>
      <w:r w:rsidRPr="00851DDA">
        <w:t xml:space="preserve"> civil society organisations in the Republic of Moldova in 2025</w:t>
      </w:r>
    </w:p>
    <w:p w14:paraId="645F4586" w14:textId="77777777" w:rsidR="0007408E" w:rsidRPr="00807DAF" w:rsidRDefault="0007408E" w:rsidP="00EA610C">
      <w:pPr>
        <w:pStyle w:val="Guidelines2"/>
        <w:numPr>
          <w:ilvl w:val="1"/>
          <w:numId w:val="6"/>
        </w:numPr>
      </w:pPr>
      <w:r w:rsidRPr="00807DAF">
        <w:t>Background</w:t>
      </w:r>
      <w:bookmarkEnd w:id="3"/>
    </w:p>
    <w:p w14:paraId="35FB03F1" w14:textId="77777777" w:rsidR="006A5287" w:rsidRPr="00CF4FC1" w:rsidRDefault="006A5287" w:rsidP="006A5287">
      <w:pPr>
        <w:ind w:left="567"/>
        <w:rPr>
          <w:szCs w:val="22"/>
        </w:rPr>
      </w:pPr>
      <w:r>
        <w:t xml:space="preserve">Civil society organisations in the Republic of Moldova play an important role in the EU accession process, promoting good governance and democratic institutions, protecting the respect of fundamental rights and </w:t>
      </w:r>
      <w:r w:rsidRPr="00CF4FC1">
        <w:rPr>
          <w:szCs w:val="22"/>
        </w:rPr>
        <w:t xml:space="preserve">equality, as well as contributing to </w:t>
      </w:r>
      <w:r>
        <w:rPr>
          <w:szCs w:val="22"/>
        </w:rPr>
        <w:t xml:space="preserve">monitoring and implementation of </w:t>
      </w:r>
      <w:r w:rsidRPr="00CF4FC1">
        <w:rPr>
          <w:szCs w:val="22"/>
        </w:rPr>
        <w:t xml:space="preserve">key sectoral reforms. Their engagement is essential to ensure strengthened participation of citizens in the </w:t>
      </w:r>
      <w:proofErr w:type="gramStart"/>
      <w:r w:rsidRPr="00CF4FC1">
        <w:rPr>
          <w:szCs w:val="22"/>
        </w:rPr>
        <w:t>decision making</w:t>
      </w:r>
      <w:proofErr w:type="gramEnd"/>
      <w:r w:rsidRPr="00CF4FC1">
        <w:rPr>
          <w:szCs w:val="22"/>
        </w:rPr>
        <w:t xml:space="preserve"> process, through effective consultations and civic participation, at </w:t>
      </w:r>
      <w:r>
        <w:rPr>
          <w:szCs w:val="22"/>
        </w:rPr>
        <w:t xml:space="preserve">national, regional and </w:t>
      </w:r>
      <w:r w:rsidRPr="00CF4FC1">
        <w:rPr>
          <w:szCs w:val="22"/>
        </w:rPr>
        <w:t xml:space="preserve">local level. </w:t>
      </w:r>
    </w:p>
    <w:p w14:paraId="79D2FB5B" w14:textId="099FB9FB" w:rsidR="006A5287" w:rsidRPr="00CF4FC1" w:rsidRDefault="006A5287" w:rsidP="006A5287">
      <w:pPr>
        <w:ind w:left="567"/>
        <w:rPr>
          <w:szCs w:val="22"/>
        </w:rPr>
      </w:pPr>
      <w:r w:rsidRPr="00CF4FC1">
        <w:rPr>
          <w:szCs w:val="22"/>
        </w:rPr>
        <w:t>The EU is a long-standing and trusted partner of civil society in the Republic of Moldova providing consi</w:t>
      </w:r>
      <w:r>
        <w:rPr>
          <w:szCs w:val="22"/>
        </w:rPr>
        <w:t>derable</w:t>
      </w:r>
      <w:r w:rsidRPr="00CF4FC1">
        <w:rPr>
          <w:szCs w:val="22"/>
        </w:rPr>
        <w:t xml:space="preserve"> support for civil society, which in line with EU polic</w:t>
      </w:r>
      <w:r w:rsidR="002B52F5">
        <w:rPr>
          <w:szCs w:val="22"/>
        </w:rPr>
        <w:t>ies</w:t>
      </w:r>
      <w:r w:rsidRPr="00CF4FC1">
        <w:rPr>
          <w:szCs w:val="22"/>
        </w:rPr>
        <w:t xml:space="preserve"> promotes civil society independence, capacity and participation, as well as an open and enabling environment for civil society, </w:t>
      </w:r>
      <w:r>
        <w:rPr>
          <w:szCs w:val="22"/>
        </w:rPr>
        <w:t xml:space="preserve">contributing to a </w:t>
      </w:r>
      <w:r w:rsidRPr="00C106B9">
        <w:rPr>
          <w:iCs/>
          <w:szCs w:val="22"/>
        </w:rPr>
        <w:t xml:space="preserve">democratic space in </w:t>
      </w:r>
      <w:r>
        <w:rPr>
          <w:iCs/>
          <w:szCs w:val="22"/>
        </w:rPr>
        <w:t>Moldova</w:t>
      </w:r>
      <w:r w:rsidRPr="00C106B9">
        <w:rPr>
          <w:iCs/>
          <w:szCs w:val="22"/>
        </w:rPr>
        <w:t xml:space="preserve"> and an inclusive and open dialogue with and between </w:t>
      </w:r>
      <w:r w:rsidR="00035AB5">
        <w:rPr>
          <w:iCs/>
          <w:szCs w:val="22"/>
        </w:rPr>
        <w:t>c</w:t>
      </w:r>
      <w:r w:rsidR="00035AB5" w:rsidRPr="00C106B9">
        <w:rPr>
          <w:iCs/>
          <w:szCs w:val="22"/>
        </w:rPr>
        <w:t xml:space="preserve">ivil </w:t>
      </w:r>
      <w:r w:rsidR="00035AB5">
        <w:rPr>
          <w:iCs/>
          <w:szCs w:val="22"/>
        </w:rPr>
        <w:t>s</w:t>
      </w:r>
      <w:r w:rsidRPr="00C106B9">
        <w:rPr>
          <w:iCs/>
          <w:szCs w:val="22"/>
        </w:rPr>
        <w:t xml:space="preserve">ociety </w:t>
      </w:r>
      <w:r w:rsidR="00035AB5">
        <w:rPr>
          <w:iCs/>
          <w:szCs w:val="22"/>
        </w:rPr>
        <w:t>o</w:t>
      </w:r>
      <w:r w:rsidRPr="00C106B9">
        <w:rPr>
          <w:iCs/>
          <w:szCs w:val="22"/>
        </w:rPr>
        <w:t>rganisations</w:t>
      </w:r>
      <w:r w:rsidRPr="00C106B9">
        <w:rPr>
          <w:szCs w:val="22"/>
        </w:rPr>
        <w:t>.</w:t>
      </w:r>
      <w:r w:rsidRPr="000234DA">
        <w:rPr>
          <w:szCs w:val="22"/>
        </w:rPr>
        <w:t xml:space="preserve"> </w:t>
      </w:r>
    </w:p>
    <w:p w14:paraId="2E01C4DA" w14:textId="77777777" w:rsidR="006A5287" w:rsidRPr="00CF4FC1" w:rsidRDefault="006A5287" w:rsidP="006A5287">
      <w:pPr>
        <w:ind w:left="567"/>
        <w:rPr>
          <w:szCs w:val="22"/>
        </w:rPr>
      </w:pPr>
      <w:r w:rsidRPr="00CF4FC1">
        <w:rPr>
          <w:szCs w:val="22"/>
        </w:rPr>
        <w:t xml:space="preserve">The EU-Moldova cooperation strongly intensified following the decision of the European Council to grant Moldova EU candidate status in June 2022. The momentum was further strengthened with the European Council endorsing the Commission recommendation to open accession negotiations with Moldova in December 2023, which were formally launched on 25 June 2024. </w:t>
      </w:r>
    </w:p>
    <w:p w14:paraId="14E99D2A" w14:textId="730E6FCD" w:rsidR="006A5287" w:rsidRPr="00CF4FC1" w:rsidRDefault="006A5287" w:rsidP="006A5287">
      <w:pPr>
        <w:ind w:left="567"/>
        <w:rPr>
          <w:szCs w:val="22"/>
        </w:rPr>
      </w:pPr>
      <w:r w:rsidRPr="00CF4FC1">
        <w:rPr>
          <w:szCs w:val="22"/>
        </w:rPr>
        <w:t xml:space="preserve">The current Call for </w:t>
      </w:r>
      <w:r w:rsidR="00035AB5">
        <w:rPr>
          <w:szCs w:val="22"/>
        </w:rPr>
        <w:t>P</w:t>
      </w:r>
      <w:r w:rsidR="00035AB5" w:rsidRPr="00CF4FC1">
        <w:rPr>
          <w:szCs w:val="22"/>
        </w:rPr>
        <w:t xml:space="preserve">roposal </w:t>
      </w:r>
      <w:r w:rsidRPr="00CF4FC1">
        <w:rPr>
          <w:szCs w:val="22"/>
        </w:rPr>
        <w:t xml:space="preserve">is financed under the </w:t>
      </w:r>
      <w:proofErr w:type="spellStart"/>
      <w:r w:rsidRPr="002B52F5">
        <w:rPr>
          <w:b/>
          <w:szCs w:val="22"/>
        </w:rPr>
        <w:t>EaP</w:t>
      </w:r>
      <w:proofErr w:type="spellEnd"/>
      <w:r w:rsidRPr="002B52F5">
        <w:rPr>
          <w:b/>
          <w:szCs w:val="22"/>
        </w:rPr>
        <w:t xml:space="preserve"> Civil Society Facility for Resilient and Inclusive Societies for 2023-2024</w:t>
      </w:r>
      <w:r w:rsidRPr="00CF4FC1">
        <w:rPr>
          <w:szCs w:val="22"/>
        </w:rPr>
        <w:t xml:space="preserve">, which is the EU’s landmark programme on support </w:t>
      </w:r>
      <w:r w:rsidR="00035AB5">
        <w:rPr>
          <w:szCs w:val="22"/>
        </w:rPr>
        <w:t>for</w:t>
      </w:r>
      <w:r w:rsidRPr="00CF4FC1">
        <w:rPr>
          <w:szCs w:val="22"/>
        </w:rPr>
        <w:t xml:space="preserve"> civil society in the </w:t>
      </w:r>
      <w:proofErr w:type="spellStart"/>
      <w:r w:rsidRPr="00CF4FC1">
        <w:rPr>
          <w:szCs w:val="22"/>
        </w:rPr>
        <w:t>EaP</w:t>
      </w:r>
      <w:proofErr w:type="spellEnd"/>
      <w:r w:rsidRPr="00CF4FC1">
        <w:rPr>
          <w:szCs w:val="22"/>
        </w:rPr>
        <w:t xml:space="preserve"> countries. Empowered civil society, including social partners, is a crucial component of an inclusive and resilient, gender equal and democratic system and a key contributor to the democratic and economic transformation of the partner countries. The Joint Communication on the future of the </w:t>
      </w:r>
      <w:proofErr w:type="spellStart"/>
      <w:r w:rsidRPr="00CF4FC1">
        <w:rPr>
          <w:szCs w:val="22"/>
        </w:rPr>
        <w:t>EaP</w:t>
      </w:r>
      <w:proofErr w:type="spellEnd"/>
      <w:r w:rsidRPr="00CF4FC1">
        <w:rPr>
          <w:szCs w:val="22"/>
        </w:rPr>
        <w:t xml:space="preserve"> of March 2020</w:t>
      </w:r>
      <w:r>
        <w:rPr>
          <w:rStyle w:val="Funotenzeichen"/>
          <w:szCs w:val="22"/>
        </w:rPr>
        <w:footnoteReference w:id="5"/>
      </w:r>
      <w:r w:rsidRPr="00CF4FC1">
        <w:rPr>
          <w:szCs w:val="22"/>
        </w:rPr>
        <w:t xml:space="preserve"> and the Joint Staff Working Document on Recovery, resilience and reforms: post 2020 Eastern Partnership priorities of July 2021</w:t>
      </w:r>
      <w:r>
        <w:rPr>
          <w:rStyle w:val="Funotenzeichen"/>
          <w:szCs w:val="22"/>
        </w:rPr>
        <w:footnoteReference w:id="6"/>
      </w:r>
      <w:r w:rsidRPr="00CF4FC1">
        <w:rPr>
          <w:szCs w:val="22"/>
        </w:rPr>
        <w:t xml:space="preserve"> confirm the EU’s commitment to enhance engagement and sustainability of civil society in all partner countries, particularly local, grassroots organisations, to meaningfully participate in policy dialogue, promote reforms and public accountability. </w:t>
      </w:r>
    </w:p>
    <w:p w14:paraId="613F100D" w14:textId="2034C1FC" w:rsidR="006A5287" w:rsidRDefault="006A5287" w:rsidP="006A5287">
      <w:pPr>
        <w:ind w:left="567"/>
        <w:rPr>
          <w:sz w:val="23"/>
          <w:szCs w:val="23"/>
        </w:rPr>
      </w:pPr>
      <w:r w:rsidRPr="00CF4FC1">
        <w:rPr>
          <w:szCs w:val="22"/>
        </w:rPr>
        <w:t xml:space="preserve">Against the backdrop of Russia’s war of aggression against Ukraine and increased political instability across the countries, this action aims to strengthen inclusive resilient democratic societies in the Eastern Partnership region by capacitating </w:t>
      </w:r>
      <w:r w:rsidR="00035AB5">
        <w:rPr>
          <w:szCs w:val="22"/>
        </w:rPr>
        <w:t>c</w:t>
      </w:r>
      <w:r w:rsidRPr="00CF4FC1">
        <w:rPr>
          <w:szCs w:val="22"/>
        </w:rPr>
        <w:t xml:space="preserve">ivil </w:t>
      </w:r>
      <w:r w:rsidR="00035AB5">
        <w:rPr>
          <w:szCs w:val="22"/>
        </w:rPr>
        <w:t>s</w:t>
      </w:r>
      <w:r w:rsidRPr="00CF4FC1">
        <w:rPr>
          <w:szCs w:val="22"/>
        </w:rPr>
        <w:t xml:space="preserve">ociety </w:t>
      </w:r>
      <w:r w:rsidR="00035AB5">
        <w:rPr>
          <w:szCs w:val="22"/>
        </w:rPr>
        <w:t>o</w:t>
      </w:r>
      <w:r w:rsidRPr="00CF4FC1">
        <w:rPr>
          <w:szCs w:val="22"/>
        </w:rPr>
        <w:t>rganisations (CSOs) to participate meaningfully in Europea</w:t>
      </w:r>
      <w:r>
        <w:rPr>
          <w:szCs w:val="22"/>
        </w:rPr>
        <w:t xml:space="preserve">n and national policy dialogue, </w:t>
      </w:r>
      <w:r w:rsidRPr="00CF4FC1">
        <w:rPr>
          <w:szCs w:val="22"/>
        </w:rPr>
        <w:t>including reforms, accountability and socio</w:t>
      </w:r>
      <w:r>
        <w:rPr>
          <w:sz w:val="23"/>
          <w:szCs w:val="23"/>
        </w:rPr>
        <w:t xml:space="preserve">-economic recovery, as well as by enabling civic actors to engage in pro-democracy and human rights, environment/climate activism, sustainable development etc. </w:t>
      </w:r>
    </w:p>
    <w:p w14:paraId="4B579A9D" w14:textId="23029FDD" w:rsidR="006A5287" w:rsidRDefault="006A5287" w:rsidP="006A5287">
      <w:pPr>
        <w:ind w:left="567"/>
      </w:pPr>
      <w:r>
        <w:t xml:space="preserve">The Call rolls out the EU support </w:t>
      </w:r>
      <w:r w:rsidR="00035AB5">
        <w:t>for</w:t>
      </w:r>
      <w:r>
        <w:t xml:space="preserve"> Civil Society Organisations initiatives in the framework of the </w:t>
      </w:r>
      <w:hyperlink r:id="rId16" w:history="1">
        <w:r w:rsidRPr="009B352F">
          <w:rPr>
            <w:rStyle w:val="Hyperlink"/>
          </w:rPr>
          <w:t>Roadmap for engagement with Civil Society in the Republic of Moldova</w:t>
        </w:r>
      </w:hyperlink>
      <w:r>
        <w:t xml:space="preserve">, for the period 2021-2027. </w:t>
      </w:r>
    </w:p>
    <w:p w14:paraId="7AD35558" w14:textId="121AD6CF" w:rsidR="006A5287" w:rsidRDefault="006A5287" w:rsidP="006A5287">
      <w:pPr>
        <w:ind w:left="567"/>
      </w:pPr>
      <w:r>
        <w:t>In addition, the Call will support Moldovan civil society organisations (CSOs) including g</w:t>
      </w:r>
      <w:r w:rsidRPr="0085307F">
        <w:t xml:space="preserve">rassroots and smaller organisations </w:t>
      </w:r>
      <w:r>
        <w:t xml:space="preserve">to </w:t>
      </w:r>
      <w:r w:rsidR="00321834">
        <w:t xml:space="preserve">develop their capacities, </w:t>
      </w:r>
      <w:r w:rsidR="00A8712C" w:rsidRPr="00A8712C">
        <w:t>influence and strengthen the dialogue with national authorities in the context of the country’s EU accession process</w:t>
      </w:r>
      <w:r w:rsidR="00A8712C">
        <w:t xml:space="preserve">, </w:t>
      </w:r>
      <w:r w:rsidR="00321834">
        <w:t xml:space="preserve">to </w:t>
      </w:r>
      <w:r>
        <w:t xml:space="preserve">strengthen their financial </w:t>
      </w:r>
      <w:r w:rsidRPr="002C3343">
        <w:t>situation</w:t>
      </w:r>
      <w:r>
        <w:t xml:space="preserve"> through support to third parties, as they </w:t>
      </w:r>
      <w:r w:rsidRPr="0085307F">
        <w:t xml:space="preserve">often lack the capacity to apply directly for EU funding. </w:t>
      </w:r>
    </w:p>
    <w:p w14:paraId="37E7EA08" w14:textId="7444FC85" w:rsidR="00B60AEA" w:rsidRDefault="00B60AEA">
      <w:pPr>
        <w:spacing w:after="0"/>
        <w:jc w:val="left"/>
      </w:pPr>
      <w:r>
        <w:br w:type="page"/>
      </w:r>
    </w:p>
    <w:p w14:paraId="187E08C8" w14:textId="77777777" w:rsidR="0007408E" w:rsidRPr="00807DAF" w:rsidRDefault="0007408E" w:rsidP="00EA610C">
      <w:pPr>
        <w:pStyle w:val="Guidelines2"/>
        <w:numPr>
          <w:ilvl w:val="1"/>
          <w:numId w:val="6"/>
        </w:numPr>
      </w:pPr>
      <w:bookmarkStart w:id="4" w:name="_Toc185257668"/>
      <w:r w:rsidRPr="00807DAF">
        <w:lastRenderedPageBreak/>
        <w:t>Objectives of the programme and priority issues</w:t>
      </w:r>
      <w:bookmarkEnd w:id="4"/>
      <w:r w:rsidRPr="00807DAF">
        <w:t xml:space="preserve"> </w:t>
      </w:r>
    </w:p>
    <w:p w14:paraId="3623A537" w14:textId="77777777" w:rsidR="00026D5B" w:rsidRPr="00807DAF" w:rsidRDefault="00026D5B" w:rsidP="00F36C74">
      <w:pPr>
        <w:spacing w:after="120" w:line="240" w:lineRule="atLeast"/>
      </w:pPr>
      <w:r w:rsidRPr="00807DAF">
        <w:t xml:space="preserve">The </w:t>
      </w:r>
      <w:r w:rsidRPr="00807DAF">
        <w:rPr>
          <w:b/>
        </w:rPr>
        <w:t>global objective</w:t>
      </w:r>
      <w:r w:rsidRPr="00807DAF">
        <w:t xml:space="preserve"> of this </w:t>
      </w:r>
      <w:r w:rsidR="002F0314">
        <w:t>c</w:t>
      </w:r>
      <w:r w:rsidRPr="00807DAF">
        <w:t xml:space="preserve">all for </w:t>
      </w:r>
      <w:r w:rsidR="002F0314">
        <w:t>p</w:t>
      </w:r>
      <w:r w:rsidR="00AF4AE8">
        <w:t xml:space="preserve">roposals is </w:t>
      </w:r>
      <w:r w:rsidR="00AF4AE8" w:rsidRPr="00AF4AE8">
        <w:t>to strengthen the participation and contribution of Moldovan civil society to the democratic, economic and social development of the country in the context of the EU accession process. This action aims to support inclusive, resilient and democratic society by capacitating CSOs to participate in the implementation and monitoring of reforms related to the EU accession, to engage in open and structured policy dialogue with public authorities, promoting citizens active civic participation in social and economic life, ensuring fair and equal development opportunities for all.</w:t>
      </w:r>
    </w:p>
    <w:p w14:paraId="1086108A" w14:textId="77777777" w:rsidR="00AF4AE8" w:rsidRDefault="00AF4AE8" w:rsidP="00AF4AE8">
      <w:bookmarkStart w:id="5" w:name="_Toc185257669"/>
      <w:r w:rsidRPr="00112451">
        <w:t xml:space="preserve">This </w:t>
      </w:r>
      <w:r w:rsidRPr="00112451">
        <w:rPr>
          <w:b/>
        </w:rPr>
        <w:t>call for proposals</w:t>
      </w:r>
      <w:r>
        <w:t xml:space="preserve"> is divided into three</w:t>
      </w:r>
      <w:r w:rsidRPr="00112451">
        <w:t xml:space="preserve"> lots, each </w:t>
      </w:r>
      <w:r>
        <w:t>lot has its own specific objectives</w:t>
      </w:r>
      <w:r w:rsidRPr="00112451">
        <w:t xml:space="preserve"> and priorities, as indicated below. </w:t>
      </w:r>
    </w:p>
    <w:p w14:paraId="023544A5" w14:textId="221EA3D1" w:rsidR="00AF4AE8" w:rsidRDefault="00AF4AE8" w:rsidP="00AF4AE8">
      <w:r w:rsidRPr="00807DAF">
        <w:t xml:space="preserve">The </w:t>
      </w:r>
      <w:r>
        <w:rPr>
          <w:b/>
        </w:rPr>
        <w:t>specific objectives</w:t>
      </w:r>
      <w:r w:rsidR="008A3A15">
        <w:rPr>
          <w:b/>
        </w:rPr>
        <w:t xml:space="preserve"> and priorities</w:t>
      </w:r>
      <w:r w:rsidRPr="00807DAF">
        <w:rPr>
          <w:b/>
        </w:rPr>
        <w:t xml:space="preserve"> </w:t>
      </w:r>
      <w:r w:rsidRPr="00807DAF">
        <w:t xml:space="preserve">of this </w:t>
      </w:r>
      <w:r>
        <w:t>c</w:t>
      </w:r>
      <w:r w:rsidRPr="00807DAF">
        <w:t xml:space="preserve">all for </w:t>
      </w:r>
      <w:r>
        <w:t>p</w:t>
      </w:r>
      <w:r w:rsidRPr="00807DAF">
        <w:t xml:space="preserve">roposals are: </w:t>
      </w:r>
    </w:p>
    <w:p w14:paraId="1886307C" w14:textId="4D3755E3" w:rsidR="00B03479" w:rsidRPr="00687852" w:rsidRDefault="00AF4AE8" w:rsidP="00AF4AE8">
      <w:pPr>
        <w:pStyle w:val="Default"/>
        <w:jc w:val="both"/>
        <w:rPr>
          <w:color w:val="auto"/>
          <w:sz w:val="22"/>
          <w:szCs w:val="22"/>
          <w:u w:val="single"/>
        </w:rPr>
      </w:pPr>
      <w:r w:rsidRPr="00687852">
        <w:rPr>
          <w:b/>
          <w:color w:val="auto"/>
          <w:sz w:val="22"/>
          <w:szCs w:val="22"/>
          <w:u w:val="single"/>
        </w:rPr>
        <w:t>Lot 1</w:t>
      </w:r>
      <w:r w:rsidR="00687852" w:rsidRPr="00687852">
        <w:rPr>
          <w:b/>
          <w:color w:val="auto"/>
          <w:sz w:val="22"/>
          <w:szCs w:val="22"/>
          <w:u w:val="single"/>
        </w:rPr>
        <w:t xml:space="preserve"> </w:t>
      </w:r>
      <w:r w:rsidR="008638BE" w:rsidRPr="00687852">
        <w:rPr>
          <w:b/>
          <w:color w:val="auto"/>
          <w:sz w:val="22"/>
          <w:szCs w:val="22"/>
          <w:u w:val="single"/>
        </w:rPr>
        <w:t>s</w:t>
      </w:r>
      <w:r w:rsidR="00E84531" w:rsidRPr="00687852">
        <w:rPr>
          <w:b/>
          <w:color w:val="auto"/>
          <w:sz w:val="22"/>
          <w:szCs w:val="22"/>
          <w:u w:val="single"/>
        </w:rPr>
        <w:t>pecific objective</w:t>
      </w:r>
      <w:r w:rsidR="00E84531" w:rsidRPr="00687852">
        <w:rPr>
          <w:color w:val="auto"/>
          <w:sz w:val="22"/>
          <w:szCs w:val="22"/>
          <w:u w:val="single"/>
        </w:rPr>
        <w:t xml:space="preserve">: </w:t>
      </w:r>
    </w:p>
    <w:p w14:paraId="60CA020D" w14:textId="7B95B867" w:rsidR="00B03479" w:rsidRDefault="00AF4AE8" w:rsidP="00AF4AE8">
      <w:pPr>
        <w:pStyle w:val="Default"/>
        <w:jc w:val="both"/>
        <w:rPr>
          <w:color w:val="auto"/>
          <w:sz w:val="22"/>
          <w:szCs w:val="22"/>
        </w:rPr>
      </w:pPr>
      <w:r>
        <w:rPr>
          <w:color w:val="auto"/>
          <w:sz w:val="22"/>
          <w:szCs w:val="22"/>
        </w:rPr>
        <w:t>Strengthening</w:t>
      </w:r>
      <w:r w:rsidRPr="00883B5C">
        <w:rPr>
          <w:color w:val="auto"/>
          <w:sz w:val="22"/>
          <w:szCs w:val="22"/>
        </w:rPr>
        <w:t xml:space="preserve"> the capacities of civil society organisations to </w:t>
      </w:r>
      <w:r>
        <w:rPr>
          <w:color w:val="auto"/>
          <w:sz w:val="22"/>
          <w:szCs w:val="22"/>
        </w:rPr>
        <w:t xml:space="preserve">participate and </w:t>
      </w:r>
      <w:r w:rsidRPr="00883B5C">
        <w:rPr>
          <w:color w:val="auto"/>
          <w:sz w:val="22"/>
          <w:szCs w:val="22"/>
        </w:rPr>
        <w:t>contribute to the EU accession process of the Republic of Moldova</w:t>
      </w:r>
      <w:r w:rsidR="00490F81">
        <w:rPr>
          <w:color w:val="auto"/>
          <w:sz w:val="22"/>
          <w:szCs w:val="22"/>
        </w:rPr>
        <w:t>.</w:t>
      </w:r>
    </w:p>
    <w:p w14:paraId="2D8EB40E" w14:textId="77777777" w:rsidR="00B03479" w:rsidRDefault="00B03479" w:rsidP="00687852">
      <w:pPr>
        <w:pStyle w:val="Default"/>
        <w:ind w:firstLine="720"/>
        <w:jc w:val="both"/>
        <w:rPr>
          <w:color w:val="auto"/>
          <w:sz w:val="22"/>
          <w:szCs w:val="22"/>
        </w:rPr>
      </w:pPr>
      <w:r w:rsidRPr="00687852">
        <w:rPr>
          <w:b/>
          <w:bCs/>
          <w:color w:val="auto"/>
          <w:sz w:val="22"/>
          <w:szCs w:val="22"/>
        </w:rPr>
        <w:t>Priorities</w:t>
      </w:r>
      <w:r>
        <w:rPr>
          <w:color w:val="auto"/>
          <w:sz w:val="22"/>
          <w:szCs w:val="22"/>
        </w:rPr>
        <w:t>:</w:t>
      </w:r>
    </w:p>
    <w:p w14:paraId="5D202EBB" w14:textId="43458914" w:rsidR="0018622B" w:rsidRDefault="0018622B" w:rsidP="00EA610C">
      <w:pPr>
        <w:pStyle w:val="Default"/>
        <w:numPr>
          <w:ilvl w:val="0"/>
          <w:numId w:val="33"/>
        </w:numPr>
        <w:jc w:val="both"/>
        <w:rPr>
          <w:color w:val="auto"/>
          <w:sz w:val="22"/>
          <w:szCs w:val="22"/>
        </w:rPr>
      </w:pPr>
      <w:r>
        <w:rPr>
          <w:color w:val="auto"/>
          <w:sz w:val="22"/>
          <w:szCs w:val="22"/>
        </w:rPr>
        <w:t>To support civil society organisations, including grassroots organisations,</w:t>
      </w:r>
      <w:r w:rsidR="007A3443">
        <w:rPr>
          <w:color w:val="auto"/>
          <w:sz w:val="22"/>
          <w:szCs w:val="22"/>
        </w:rPr>
        <w:t xml:space="preserve"> to engage with public authorities </w:t>
      </w:r>
      <w:r w:rsidR="00F231F4">
        <w:rPr>
          <w:color w:val="auto"/>
          <w:sz w:val="22"/>
          <w:szCs w:val="22"/>
        </w:rPr>
        <w:t xml:space="preserve">in the implementation and monitoring of </w:t>
      </w:r>
      <w:r w:rsidR="00490F81">
        <w:rPr>
          <w:color w:val="auto"/>
          <w:sz w:val="22"/>
          <w:szCs w:val="22"/>
        </w:rPr>
        <w:t>reforms and EU and national development programmes.</w:t>
      </w:r>
    </w:p>
    <w:p w14:paraId="50971E7F" w14:textId="39D04A52" w:rsidR="00AF4AE8" w:rsidRDefault="00490F81" w:rsidP="00EA610C">
      <w:pPr>
        <w:pStyle w:val="Default"/>
        <w:numPr>
          <w:ilvl w:val="0"/>
          <w:numId w:val="33"/>
        </w:numPr>
        <w:jc w:val="both"/>
        <w:rPr>
          <w:color w:val="auto"/>
          <w:sz w:val="22"/>
          <w:szCs w:val="22"/>
        </w:rPr>
      </w:pPr>
      <w:r>
        <w:rPr>
          <w:color w:val="auto"/>
          <w:sz w:val="22"/>
          <w:szCs w:val="22"/>
        </w:rPr>
        <w:t>T</w:t>
      </w:r>
      <w:r w:rsidR="008341BF" w:rsidRPr="008341BF">
        <w:rPr>
          <w:color w:val="auto"/>
          <w:sz w:val="22"/>
          <w:szCs w:val="22"/>
        </w:rPr>
        <w:t>o support civil society organisations</w:t>
      </w:r>
      <w:r w:rsidR="00707D05">
        <w:rPr>
          <w:color w:val="auto"/>
          <w:sz w:val="22"/>
          <w:szCs w:val="22"/>
        </w:rPr>
        <w:t>,</w:t>
      </w:r>
      <w:r w:rsidR="008341BF" w:rsidRPr="008341BF">
        <w:rPr>
          <w:color w:val="auto"/>
          <w:sz w:val="22"/>
          <w:szCs w:val="22"/>
        </w:rPr>
        <w:t xml:space="preserve"> including grassroots organisations</w:t>
      </w:r>
      <w:r w:rsidR="00707D05">
        <w:rPr>
          <w:color w:val="auto"/>
          <w:sz w:val="22"/>
          <w:szCs w:val="22"/>
        </w:rPr>
        <w:t>,</w:t>
      </w:r>
      <w:r w:rsidR="008341BF" w:rsidRPr="008341BF">
        <w:rPr>
          <w:color w:val="auto"/>
          <w:sz w:val="22"/>
          <w:szCs w:val="22"/>
        </w:rPr>
        <w:t xml:space="preserve"> to expand their role in monitoring and participating in the reform process of various sectors related to Moldova’s accession process to the EU</w:t>
      </w:r>
      <w:r w:rsidR="003D43B4">
        <w:rPr>
          <w:color w:val="auto"/>
          <w:sz w:val="22"/>
          <w:szCs w:val="22"/>
        </w:rPr>
        <w:t>.</w:t>
      </w:r>
    </w:p>
    <w:p w14:paraId="5079BC97" w14:textId="77777777" w:rsidR="00AF4AE8" w:rsidRPr="00A13828" w:rsidRDefault="00AF4AE8" w:rsidP="00AF4AE8">
      <w:pPr>
        <w:pStyle w:val="Default"/>
        <w:jc w:val="both"/>
        <w:rPr>
          <w:rStyle w:val="Hervorhebung"/>
          <w:i w:val="0"/>
          <w:color w:val="FF0000"/>
          <w:sz w:val="22"/>
          <w:szCs w:val="22"/>
        </w:rPr>
      </w:pPr>
    </w:p>
    <w:p w14:paraId="1295E5DE" w14:textId="77777777" w:rsidR="002F491A" w:rsidRDefault="00AF4AE8" w:rsidP="00AF4AE8">
      <w:pPr>
        <w:pStyle w:val="Default"/>
        <w:jc w:val="both"/>
        <w:rPr>
          <w:color w:val="auto"/>
          <w:sz w:val="22"/>
          <w:szCs w:val="22"/>
        </w:rPr>
      </w:pPr>
      <w:r w:rsidRPr="00112451">
        <w:rPr>
          <w:b/>
          <w:color w:val="auto"/>
          <w:sz w:val="22"/>
          <w:szCs w:val="22"/>
          <w:u w:val="single"/>
        </w:rPr>
        <w:t>Lot 2</w:t>
      </w:r>
      <w:r w:rsidR="008638BE">
        <w:rPr>
          <w:b/>
          <w:color w:val="auto"/>
          <w:sz w:val="22"/>
          <w:szCs w:val="22"/>
          <w:u w:val="single"/>
        </w:rPr>
        <w:t xml:space="preserve"> specific objective</w:t>
      </w:r>
      <w:r w:rsidRPr="00112451">
        <w:rPr>
          <w:b/>
          <w:color w:val="auto"/>
          <w:sz w:val="22"/>
          <w:szCs w:val="22"/>
          <w:u w:val="single"/>
        </w:rPr>
        <w:t>:</w:t>
      </w:r>
      <w:r w:rsidRPr="00A13828">
        <w:rPr>
          <w:color w:val="auto"/>
          <w:sz w:val="22"/>
          <w:szCs w:val="22"/>
        </w:rPr>
        <w:t xml:space="preserve"> </w:t>
      </w:r>
    </w:p>
    <w:p w14:paraId="195075E5" w14:textId="55E7E44E" w:rsidR="00D10C7E" w:rsidRDefault="002F491A" w:rsidP="00AF4AE8">
      <w:pPr>
        <w:pStyle w:val="Default"/>
        <w:jc w:val="both"/>
        <w:rPr>
          <w:color w:val="auto"/>
          <w:sz w:val="22"/>
          <w:szCs w:val="22"/>
        </w:rPr>
      </w:pPr>
      <w:r>
        <w:rPr>
          <w:color w:val="auto"/>
          <w:sz w:val="22"/>
          <w:szCs w:val="22"/>
        </w:rPr>
        <w:t xml:space="preserve">Strengthening </w:t>
      </w:r>
      <w:r w:rsidR="00AF4AE8" w:rsidRPr="00F2486A">
        <w:rPr>
          <w:color w:val="auto"/>
          <w:sz w:val="22"/>
          <w:szCs w:val="22"/>
        </w:rPr>
        <w:t xml:space="preserve">the capacities of civil society </w:t>
      </w:r>
      <w:r>
        <w:rPr>
          <w:color w:val="auto"/>
          <w:sz w:val="22"/>
          <w:szCs w:val="22"/>
        </w:rPr>
        <w:t xml:space="preserve">organisations </w:t>
      </w:r>
      <w:r w:rsidR="00BE724B">
        <w:rPr>
          <w:color w:val="auto"/>
          <w:sz w:val="22"/>
          <w:szCs w:val="22"/>
        </w:rPr>
        <w:t>to better perform their</w:t>
      </w:r>
      <w:r w:rsidR="00AF4AE8" w:rsidRPr="00F2486A">
        <w:rPr>
          <w:color w:val="auto"/>
          <w:sz w:val="22"/>
          <w:szCs w:val="22"/>
        </w:rPr>
        <w:t xml:space="preserve"> role as community mobilisation actor in the context of the EU integration process</w:t>
      </w:r>
      <w:r w:rsidR="00707D05">
        <w:rPr>
          <w:color w:val="auto"/>
          <w:sz w:val="22"/>
          <w:szCs w:val="22"/>
        </w:rPr>
        <w:t>.</w:t>
      </w:r>
      <w:r w:rsidR="00AF4AE8" w:rsidRPr="00F2486A">
        <w:rPr>
          <w:color w:val="auto"/>
          <w:sz w:val="22"/>
          <w:szCs w:val="22"/>
        </w:rPr>
        <w:t xml:space="preserve"> </w:t>
      </w:r>
    </w:p>
    <w:p w14:paraId="0BCA9BA9" w14:textId="77777777" w:rsidR="003D43B4" w:rsidRPr="00687852" w:rsidRDefault="003D43B4" w:rsidP="00687852">
      <w:pPr>
        <w:pStyle w:val="Default"/>
        <w:ind w:firstLine="720"/>
        <w:jc w:val="both"/>
        <w:rPr>
          <w:b/>
          <w:bCs/>
          <w:color w:val="auto"/>
          <w:sz w:val="22"/>
          <w:szCs w:val="22"/>
        </w:rPr>
      </w:pPr>
      <w:r w:rsidRPr="00687852">
        <w:rPr>
          <w:b/>
          <w:bCs/>
          <w:color w:val="auto"/>
          <w:sz w:val="22"/>
          <w:szCs w:val="22"/>
        </w:rPr>
        <w:t>Priorities:</w:t>
      </w:r>
    </w:p>
    <w:p w14:paraId="3B0C4EF4" w14:textId="55813440" w:rsidR="00E87913" w:rsidRDefault="00E87913" w:rsidP="00EA610C">
      <w:pPr>
        <w:pStyle w:val="Default"/>
        <w:numPr>
          <w:ilvl w:val="0"/>
          <w:numId w:val="34"/>
        </w:numPr>
        <w:jc w:val="both"/>
        <w:rPr>
          <w:color w:val="auto"/>
          <w:sz w:val="22"/>
          <w:szCs w:val="22"/>
        </w:rPr>
      </w:pPr>
      <w:r>
        <w:rPr>
          <w:color w:val="auto"/>
          <w:sz w:val="22"/>
          <w:szCs w:val="22"/>
        </w:rPr>
        <w:t>T</w:t>
      </w:r>
      <w:r w:rsidRPr="00E87913">
        <w:rPr>
          <w:color w:val="auto"/>
          <w:sz w:val="22"/>
          <w:szCs w:val="22"/>
        </w:rPr>
        <w:t xml:space="preserve">o encourage active participation of local communities and citizens in achieving societal transformation in the context of EU </w:t>
      </w:r>
      <w:r w:rsidR="008C5CB1" w:rsidRPr="00E87913">
        <w:rPr>
          <w:color w:val="auto"/>
          <w:sz w:val="22"/>
          <w:szCs w:val="22"/>
        </w:rPr>
        <w:t>integration</w:t>
      </w:r>
      <w:r w:rsidR="008C5CB1">
        <w:rPr>
          <w:color w:val="auto"/>
          <w:sz w:val="22"/>
          <w:szCs w:val="22"/>
        </w:rPr>
        <w:t>.</w:t>
      </w:r>
    </w:p>
    <w:p w14:paraId="6944BE27" w14:textId="36BBA76B" w:rsidR="00AF4AE8" w:rsidRDefault="00C54B66" w:rsidP="00EA610C">
      <w:pPr>
        <w:pStyle w:val="Default"/>
        <w:numPr>
          <w:ilvl w:val="0"/>
          <w:numId w:val="34"/>
        </w:numPr>
        <w:jc w:val="both"/>
        <w:rPr>
          <w:color w:val="auto"/>
          <w:sz w:val="22"/>
          <w:szCs w:val="22"/>
        </w:rPr>
      </w:pPr>
      <w:r>
        <w:rPr>
          <w:color w:val="auto"/>
          <w:sz w:val="22"/>
          <w:szCs w:val="22"/>
        </w:rPr>
        <w:t>To</w:t>
      </w:r>
      <w:r w:rsidR="00AF4AE8" w:rsidRPr="00F2486A">
        <w:rPr>
          <w:color w:val="auto"/>
          <w:sz w:val="22"/>
          <w:szCs w:val="22"/>
        </w:rPr>
        <w:t xml:space="preserve"> promote initiatives</w:t>
      </w:r>
      <w:r w:rsidR="008C5CB1">
        <w:rPr>
          <w:color w:val="auto"/>
          <w:sz w:val="22"/>
          <w:szCs w:val="22"/>
        </w:rPr>
        <w:t xml:space="preserve"> that </w:t>
      </w:r>
      <w:r w:rsidR="008C5CB1" w:rsidRPr="0082740A">
        <w:rPr>
          <w:color w:val="auto"/>
          <w:sz w:val="22"/>
          <w:szCs w:val="22"/>
        </w:rPr>
        <w:t xml:space="preserve">contribute to </w:t>
      </w:r>
      <w:r w:rsidR="008C5CB1">
        <w:rPr>
          <w:color w:val="auto"/>
          <w:sz w:val="22"/>
          <w:szCs w:val="22"/>
        </w:rPr>
        <w:t xml:space="preserve">the </w:t>
      </w:r>
      <w:r w:rsidR="008C5CB1" w:rsidRPr="0082740A">
        <w:rPr>
          <w:color w:val="auto"/>
          <w:sz w:val="22"/>
          <w:szCs w:val="22"/>
        </w:rPr>
        <w:t>sustainable development of local communities</w:t>
      </w:r>
      <w:r w:rsidR="00444438">
        <w:rPr>
          <w:color w:val="auto"/>
          <w:sz w:val="22"/>
          <w:szCs w:val="22"/>
        </w:rPr>
        <w:t>.</w:t>
      </w:r>
    </w:p>
    <w:p w14:paraId="0D3FBB15" w14:textId="77777777" w:rsidR="00AF4AE8" w:rsidRDefault="00AF4AE8" w:rsidP="00AF4AE8">
      <w:pPr>
        <w:pStyle w:val="Default"/>
        <w:ind w:left="567"/>
        <w:jc w:val="both"/>
        <w:rPr>
          <w:color w:val="auto"/>
          <w:sz w:val="22"/>
          <w:szCs w:val="22"/>
        </w:rPr>
      </w:pPr>
    </w:p>
    <w:p w14:paraId="6F299E8B" w14:textId="77777777" w:rsidR="008A3A15" w:rsidRDefault="00AF4AE8" w:rsidP="00AF4AE8">
      <w:pPr>
        <w:pStyle w:val="Default"/>
        <w:jc w:val="both"/>
        <w:rPr>
          <w:color w:val="auto"/>
          <w:sz w:val="22"/>
          <w:szCs w:val="22"/>
        </w:rPr>
      </w:pPr>
      <w:r w:rsidRPr="00112451">
        <w:rPr>
          <w:b/>
          <w:color w:val="auto"/>
          <w:sz w:val="22"/>
          <w:szCs w:val="22"/>
          <w:u w:val="single"/>
        </w:rPr>
        <w:t>Lot 3</w:t>
      </w:r>
      <w:r w:rsidR="008A3A15">
        <w:rPr>
          <w:b/>
          <w:color w:val="auto"/>
          <w:sz w:val="22"/>
          <w:szCs w:val="22"/>
          <w:u w:val="single"/>
        </w:rPr>
        <w:t xml:space="preserve"> specific objective</w:t>
      </w:r>
      <w:r w:rsidRPr="00112451">
        <w:rPr>
          <w:b/>
          <w:color w:val="auto"/>
          <w:sz w:val="22"/>
          <w:szCs w:val="22"/>
          <w:u w:val="single"/>
        </w:rPr>
        <w:t>:</w:t>
      </w:r>
      <w:r>
        <w:rPr>
          <w:color w:val="auto"/>
          <w:sz w:val="22"/>
          <w:szCs w:val="22"/>
        </w:rPr>
        <w:t xml:space="preserve"> </w:t>
      </w:r>
    </w:p>
    <w:p w14:paraId="60F8D118" w14:textId="2DF01A31" w:rsidR="00AF4AE8" w:rsidRDefault="00AF4AE8" w:rsidP="00AF4AE8">
      <w:pPr>
        <w:pStyle w:val="Default"/>
        <w:jc w:val="both"/>
        <w:rPr>
          <w:color w:val="auto"/>
          <w:sz w:val="22"/>
          <w:szCs w:val="22"/>
        </w:rPr>
      </w:pPr>
      <w:r>
        <w:rPr>
          <w:color w:val="auto"/>
          <w:sz w:val="22"/>
          <w:szCs w:val="22"/>
        </w:rPr>
        <w:t>E</w:t>
      </w:r>
      <w:r w:rsidR="00FC561A">
        <w:rPr>
          <w:color w:val="auto"/>
          <w:sz w:val="22"/>
          <w:szCs w:val="22"/>
        </w:rPr>
        <w:t>nabling</w:t>
      </w:r>
      <w:r>
        <w:rPr>
          <w:color w:val="auto"/>
          <w:sz w:val="22"/>
          <w:szCs w:val="22"/>
        </w:rPr>
        <w:t xml:space="preserve"> </w:t>
      </w:r>
      <w:r w:rsidRPr="00AC1414">
        <w:rPr>
          <w:color w:val="auto"/>
          <w:sz w:val="22"/>
          <w:szCs w:val="22"/>
        </w:rPr>
        <w:t xml:space="preserve">CSOs </w:t>
      </w:r>
      <w:r>
        <w:rPr>
          <w:color w:val="auto"/>
          <w:sz w:val="22"/>
          <w:szCs w:val="22"/>
        </w:rPr>
        <w:t xml:space="preserve">to </w:t>
      </w:r>
      <w:r w:rsidRPr="00AC1414">
        <w:rPr>
          <w:color w:val="auto"/>
          <w:sz w:val="22"/>
          <w:szCs w:val="22"/>
        </w:rPr>
        <w:t>meaningfully contribute to the strengthening of the child protection system in the Republic of Moldova in the context of EU accession</w:t>
      </w:r>
      <w:r>
        <w:rPr>
          <w:color w:val="auto"/>
          <w:sz w:val="22"/>
          <w:szCs w:val="22"/>
        </w:rPr>
        <w:t>.</w:t>
      </w:r>
    </w:p>
    <w:p w14:paraId="272B2792" w14:textId="30228C67" w:rsidR="008A3A15" w:rsidRPr="00687852" w:rsidRDefault="008A3A15" w:rsidP="00687852">
      <w:pPr>
        <w:pStyle w:val="Default"/>
        <w:ind w:firstLine="720"/>
        <w:jc w:val="both"/>
        <w:rPr>
          <w:b/>
          <w:bCs/>
          <w:color w:val="auto"/>
          <w:sz w:val="22"/>
          <w:szCs w:val="22"/>
        </w:rPr>
      </w:pPr>
      <w:r w:rsidRPr="00687852">
        <w:rPr>
          <w:b/>
          <w:bCs/>
          <w:color w:val="auto"/>
          <w:sz w:val="22"/>
          <w:szCs w:val="22"/>
        </w:rPr>
        <w:t>Priorities:</w:t>
      </w:r>
    </w:p>
    <w:p w14:paraId="6BAA941C" w14:textId="0CC3C4F6" w:rsidR="008A3A15" w:rsidRDefault="00B5618D" w:rsidP="00EA610C">
      <w:pPr>
        <w:pStyle w:val="Default"/>
        <w:numPr>
          <w:ilvl w:val="0"/>
          <w:numId w:val="35"/>
        </w:numPr>
        <w:jc w:val="both"/>
        <w:rPr>
          <w:color w:val="auto"/>
          <w:sz w:val="22"/>
          <w:szCs w:val="22"/>
        </w:rPr>
      </w:pPr>
      <w:r>
        <w:rPr>
          <w:color w:val="auto"/>
          <w:sz w:val="22"/>
          <w:szCs w:val="22"/>
        </w:rPr>
        <w:t>To strengthen</w:t>
      </w:r>
      <w:r w:rsidRPr="00B5618D">
        <w:rPr>
          <w:color w:val="auto"/>
          <w:sz w:val="22"/>
          <w:szCs w:val="22"/>
        </w:rPr>
        <w:t xml:space="preserve"> </w:t>
      </w:r>
      <w:r>
        <w:rPr>
          <w:color w:val="auto"/>
          <w:sz w:val="22"/>
          <w:szCs w:val="22"/>
        </w:rPr>
        <w:t>g</w:t>
      </w:r>
      <w:r w:rsidRPr="00B5618D">
        <w:rPr>
          <w:color w:val="auto"/>
          <w:sz w:val="22"/>
          <w:szCs w:val="22"/>
        </w:rPr>
        <w:t xml:space="preserve">overnance, coordination and capacity of the child protection system </w:t>
      </w:r>
      <w:r w:rsidRPr="00D9104D">
        <w:rPr>
          <w:color w:val="auto"/>
          <w:sz w:val="22"/>
          <w:szCs w:val="22"/>
        </w:rPr>
        <w:t>in the Republic of Moldova</w:t>
      </w:r>
      <w:r>
        <w:rPr>
          <w:color w:val="auto"/>
          <w:sz w:val="22"/>
          <w:szCs w:val="22"/>
        </w:rPr>
        <w:t>,</w:t>
      </w:r>
      <w:r w:rsidR="00D9104D" w:rsidRPr="00D9104D">
        <w:rPr>
          <w:color w:val="auto"/>
          <w:sz w:val="22"/>
          <w:szCs w:val="22"/>
        </w:rPr>
        <w:t xml:space="preserve"> </w:t>
      </w:r>
      <w:r w:rsidR="00382477">
        <w:rPr>
          <w:color w:val="auto"/>
          <w:sz w:val="22"/>
          <w:szCs w:val="22"/>
        </w:rPr>
        <w:t xml:space="preserve">to contribute to </w:t>
      </w:r>
      <w:r w:rsidR="00D9104D" w:rsidRPr="00D9104D">
        <w:rPr>
          <w:color w:val="auto"/>
          <w:sz w:val="22"/>
          <w:szCs w:val="22"/>
        </w:rPr>
        <w:t xml:space="preserve">reducing the child poverty and </w:t>
      </w:r>
      <w:r>
        <w:rPr>
          <w:color w:val="auto"/>
          <w:sz w:val="22"/>
          <w:szCs w:val="22"/>
        </w:rPr>
        <w:t xml:space="preserve">preventing </w:t>
      </w:r>
      <w:r w:rsidR="00D9104D" w:rsidRPr="00D9104D">
        <w:rPr>
          <w:color w:val="auto"/>
          <w:sz w:val="22"/>
          <w:szCs w:val="22"/>
        </w:rPr>
        <w:t>child institutionalisation.</w:t>
      </w:r>
      <w:r w:rsidR="001910CB">
        <w:rPr>
          <w:color w:val="auto"/>
          <w:sz w:val="22"/>
          <w:szCs w:val="22"/>
        </w:rPr>
        <w:t xml:space="preserve"> </w:t>
      </w:r>
      <w:r w:rsidR="004A42F0">
        <w:rPr>
          <w:color w:val="auto"/>
          <w:sz w:val="22"/>
          <w:szCs w:val="22"/>
        </w:rPr>
        <w:t>A</w:t>
      </w:r>
      <w:r w:rsidR="004A42F0" w:rsidRPr="004A42F0">
        <w:rPr>
          <w:color w:val="auto"/>
          <w:sz w:val="22"/>
          <w:szCs w:val="22"/>
        </w:rPr>
        <w:t>pplicants are encouraged to set up strong partnerships with the Ministry of Labour and Social Protection.</w:t>
      </w:r>
    </w:p>
    <w:p w14:paraId="447A75F6" w14:textId="77777777" w:rsidR="00AF4AE8" w:rsidRPr="00766475" w:rsidRDefault="00AF4AE8" w:rsidP="00AF4AE8">
      <w:pPr>
        <w:pStyle w:val="Default"/>
        <w:ind w:left="567"/>
        <w:jc w:val="both"/>
        <w:rPr>
          <w:i/>
          <w:iCs/>
          <w:color w:val="auto"/>
          <w:sz w:val="22"/>
          <w:szCs w:val="22"/>
        </w:rPr>
      </w:pPr>
    </w:p>
    <w:p w14:paraId="36A613A9" w14:textId="72265A23" w:rsidR="004A42F0" w:rsidRPr="00807DAF" w:rsidRDefault="00AF4AE8" w:rsidP="00AF4AE8">
      <w:r w:rsidRPr="00CE366C">
        <w:t>All actions should be gender sensitive and rights-based. The actions should address crosscutting issues related to gender-equality, environmental practices, inclusion of people with disabilities and minority groups.</w:t>
      </w:r>
    </w:p>
    <w:p w14:paraId="18377E06" w14:textId="77777777" w:rsidR="0007408E" w:rsidRPr="00807DAF" w:rsidRDefault="0007408E" w:rsidP="00EA610C">
      <w:pPr>
        <w:pStyle w:val="Guidelines2"/>
        <w:numPr>
          <w:ilvl w:val="1"/>
          <w:numId w:val="6"/>
        </w:numPr>
      </w:pPr>
      <w:r w:rsidRPr="00807DAF">
        <w:t>Financial allocation provided by the contracting authority</w:t>
      </w:r>
      <w:bookmarkEnd w:id="5"/>
    </w:p>
    <w:p w14:paraId="23EA66C7" w14:textId="77777777" w:rsidR="0007408E" w:rsidRPr="00807DAF" w:rsidRDefault="0007408E" w:rsidP="00F36C74">
      <w:pPr>
        <w:spacing w:after="120" w:line="240" w:lineRule="atLeast"/>
      </w:pPr>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06470D" w:rsidRPr="00E07930">
        <w:rPr>
          <w:b/>
        </w:rPr>
        <w:t>EUR</w:t>
      </w:r>
      <w:r w:rsidRPr="00E07930">
        <w:rPr>
          <w:b/>
        </w:rPr>
        <w:t xml:space="preserve"> </w:t>
      </w:r>
      <w:r w:rsidR="00E07930" w:rsidRPr="00E07930">
        <w:rPr>
          <w:b/>
        </w:rPr>
        <w:t>6,000,000</w:t>
      </w:r>
      <w:r w:rsidR="002F0314">
        <w:t>.</w:t>
      </w:r>
      <w:r w:rsidRPr="00807DAF">
        <w:t xml:space="preserve"> The </w:t>
      </w:r>
      <w:r w:rsidR="00D11783">
        <w:t>c</w:t>
      </w:r>
      <w:r w:rsidRPr="00807DAF">
        <w:t xml:space="preserve">ontracting </w:t>
      </w:r>
      <w:r w:rsidR="00D11783">
        <w:t>a</w:t>
      </w:r>
      <w:r w:rsidRPr="00807DAF">
        <w:t>uthority reserves the right not to award all available funds.</w:t>
      </w:r>
    </w:p>
    <w:p w14:paraId="7275956A" w14:textId="77777777" w:rsidR="00E07930" w:rsidRDefault="00E07930" w:rsidP="00E07930">
      <w:pPr>
        <w:rPr>
          <w:b/>
        </w:rPr>
      </w:pPr>
      <w:r w:rsidRPr="00807DAF">
        <w:rPr>
          <w:b/>
        </w:rPr>
        <w:t>Indicative allocation of funds by lot:</w:t>
      </w:r>
    </w:p>
    <w:p w14:paraId="23F1FB65" w14:textId="77777777" w:rsidR="00E07930" w:rsidRDefault="00E07930" w:rsidP="00E07930">
      <w:pPr>
        <w:rPr>
          <w:b/>
        </w:rPr>
      </w:pPr>
      <w:r>
        <w:rPr>
          <w:b/>
        </w:rPr>
        <w:t xml:space="preserve">Lot 1: </w:t>
      </w:r>
      <w:r w:rsidRPr="009F3F8B">
        <w:t xml:space="preserve">EUR </w:t>
      </w:r>
      <w:r>
        <w:t>1,5</w:t>
      </w:r>
      <w:r w:rsidRPr="009F3F8B">
        <w:t>00,000</w:t>
      </w:r>
    </w:p>
    <w:p w14:paraId="15461D26" w14:textId="77777777" w:rsidR="00E07930" w:rsidRDefault="00E07930" w:rsidP="00E07930">
      <w:r w:rsidRPr="00AF533D">
        <w:rPr>
          <w:b/>
        </w:rPr>
        <w:t xml:space="preserve">Lot 2: </w:t>
      </w:r>
      <w:r>
        <w:t>EUR 2,5</w:t>
      </w:r>
      <w:r w:rsidRPr="00AF533D">
        <w:t xml:space="preserve">00,000  </w:t>
      </w:r>
    </w:p>
    <w:p w14:paraId="3DD8EAE9" w14:textId="77777777" w:rsidR="00E07930" w:rsidRPr="00AF533D" w:rsidRDefault="00E07930" w:rsidP="00E07930">
      <w:r w:rsidRPr="00B92796">
        <w:rPr>
          <w:b/>
        </w:rPr>
        <w:t>Lot 3:</w:t>
      </w:r>
      <w:r>
        <w:t xml:space="preserve"> EUR 2,000,000</w:t>
      </w:r>
    </w:p>
    <w:p w14:paraId="45B8B7A6" w14:textId="77777777" w:rsidR="00E07930" w:rsidRDefault="00E07930" w:rsidP="00E07930">
      <w:pPr>
        <w:spacing w:after="120" w:line="240" w:lineRule="atLeast"/>
      </w:pPr>
      <w:r w:rsidRPr="00807DAF">
        <w:t xml:space="preserve">If the allocation indicated for a specific lot cannot be used due to insufficient quality or number of proposals received, the </w:t>
      </w:r>
      <w:r>
        <w:t>c</w:t>
      </w:r>
      <w:r w:rsidRPr="00807DAF">
        <w:t xml:space="preserve">ontracting </w:t>
      </w:r>
      <w:r>
        <w:t>a</w:t>
      </w:r>
      <w:r w:rsidRPr="00807DAF">
        <w:t xml:space="preserve">uthority reserves the right to reallocate the remaining funds to </w:t>
      </w:r>
      <w:r>
        <w:t>th</w:t>
      </w:r>
      <w:r w:rsidRPr="00A20926">
        <w:t>e other lot.</w:t>
      </w:r>
    </w:p>
    <w:p w14:paraId="5A6A2E53" w14:textId="77777777" w:rsidR="0007408E" w:rsidRDefault="00A016F9" w:rsidP="00E07930">
      <w:pPr>
        <w:spacing w:after="120" w:line="240" w:lineRule="atLeast"/>
        <w:rPr>
          <w:b/>
          <w:bCs/>
        </w:rPr>
      </w:pPr>
      <w:r w:rsidRPr="001B7D50">
        <w:rPr>
          <w:b/>
          <w:bCs/>
        </w:rPr>
        <w:lastRenderedPageBreak/>
        <w:t>Size</w:t>
      </w:r>
      <w:r w:rsidR="0007408E" w:rsidRPr="001B7D50">
        <w:rPr>
          <w:b/>
          <w:bCs/>
        </w:rPr>
        <w:t xml:space="preserve"> of grants</w:t>
      </w:r>
    </w:p>
    <w:p w14:paraId="368009E2" w14:textId="77777777" w:rsidR="00140CF0" w:rsidRPr="001B56F6" w:rsidRDefault="00140CF0" w:rsidP="00140CF0">
      <w:r w:rsidRPr="001B56F6">
        <w:t>Any grant requested under this call for proposals must fall between the following minimum and maximum amounts:</w:t>
      </w:r>
    </w:p>
    <w:p w14:paraId="6907F3DF" w14:textId="77777777" w:rsidR="00140CF0" w:rsidRPr="001B56F6" w:rsidRDefault="00140CF0" w:rsidP="00EA610C">
      <w:pPr>
        <w:numPr>
          <w:ilvl w:val="0"/>
          <w:numId w:val="7"/>
        </w:numPr>
        <w:spacing w:after="60"/>
      </w:pPr>
      <w:r w:rsidRPr="001B56F6">
        <w:rPr>
          <w:b/>
        </w:rPr>
        <w:t>Lot 1</w:t>
      </w:r>
      <w:r w:rsidRPr="001B56F6">
        <w:t>: minimum amount: EUR 1,</w:t>
      </w:r>
      <w:r w:rsidR="00296B12" w:rsidRPr="001B56F6">
        <w:t>450</w:t>
      </w:r>
      <w:r w:rsidRPr="001B56F6">
        <w:t>,000; maximum amount: EUR 1,500,000</w:t>
      </w:r>
    </w:p>
    <w:p w14:paraId="7123AADE" w14:textId="77777777" w:rsidR="00140CF0" w:rsidRPr="001B56F6" w:rsidRDefault="00140CF0" w:rsidP="00EA610C">
      <w:pPr>
        <w:numPr>
          <w:ilvl w:val="0"/>
          <w:numId w:val="7"/>
        </w:numPr>
        <w:spacing w:after="60"/>
      </w:pPr>
      <w:r w:rsidRPr="001B56F6">
        <w:rPr>
          <w:b/>
        </w:rPr>
        <w:t>Lot 2</w:t>
      </w:r>
      <w:r w:rsidRPr="001B56F6">
        <w:t>: minimum amount: EUR 2,</w:t>
      </w:r>
      <w:r w:rsidR="00296B12" w:rsidRPr="001B56F6">
        <w:t>450</w:t>
      </w:r>
      <w:r w:rsidRPr="001B56F6">
        <w:t>,000; maximum amount: EUR 2,500,000</w:t>
      </w:r>
    </w:p>
    <w:p w14:paraId="005F0655" w14:textId="77777777" w:rsidR="00140CF0" w:rsidRPr="001B56F6" w:rsidRDefault="00140CF0" w:rsidP="00EA610C">
      <w:pPr>
        <w:numPr>
          <w:ilvl w:val="0"/>
          <w:numId w:val="7"/>
        </w:numPr>
        <w:spacing w:after="60"/>
      </w:pPr>
      <w:r w:rsidRPr="001B56F6">
        <w:rPr>
          <w:b/>
        </w:rPr>
        <w:t>Lot 3</w:t>
      </w:r>
      <w:r w:rsidRPr="001B56F6">
        <w:t>: minimum amount: EUR 1,</w:t>
      </w:r>
      <w:r w:rsidR="00296B12" w:rsidRPr="001B56F6">
        <w:t>950</w:t>
      </w:r>
      <w:r w:rsidRPr="001B56F6">
        <w:t>,000; maximum amount: EUR 2,000,000</w:t>
      </w:r>
    </w:p>
    <w:p w14:paraId="58828BC5" w14:textId="77777777" w:rsidR="00140CF0" w:rsidRDefault="00140CF0" w:rsidP="00140CF0"/>
    <w:p w14:paraId="2338FACF" w14:textId="77777777" w:rsidR="00140CF0" w:rsidRPr="00807DAF" w:rsidRDefault="00140CF0" w:rsidP="00140CF0">
      <w:r w:rsidRPr="00807DAF">
        <w:t xml:space="preserve">Any grant requested under this </w:t>
      </w:r>
      <w:r>
        <w:t>c</w:t>
      </w:r>
      <w:r w:rsidRPr="00807DAF">
        <w:t xml:space="preserve">all for </w:t>
      </w:r>
      <w:r>
        <w:t>p</w:t>
      </w:r>
      <w:r w:rsidRPr="00807DAF">
        <w:t xml:space="preserve">roposals must </w:t>
      </w:r>
      <w:r w:rsidRPr="00BA6979">
        <w:t xml:space="preserve">fall between the following </w:t>
      </w:r>
      <w:r w:rsidRPr="000B7FE7">
        <w:t>minimum and</w:t>
      </w:r>
      <w:r>
        <w:t xml:space="preserve"> </w:t>
      </w:r>
      <w:r w:rsidRPr="00BA6979">
        <w:t>maximum percentages</w:t>
      </w:r>
      <w:r w:rsidRPr="00807DAF">
        <w:t xml:space="preserve"> of total eligible costs of the action:</w:t>
      </w:r>
    </w:p>
    <w:p w14:paraId="5BFA8AD3" w14:textId="77777777" w:rsidR="00140CF0" w:rsidRPr="00837D2F" w:rsidRDefault="00140CF0" w:rsidP="00EA610C">
      <w:pPr>
        <w:numPr>
          <w:ilvl w:val="0"/>
          <w:numId w:val="8"/>
        </w:numPr>
      </w:pPr>
      <w:r w:rsidRPr="00837D2F">
        <w:t>Minimum percentage: 50 % of the total eligible costs of the action.</w:t>
      </w:r>
    </w:p>
    <w:p w14:paraId="35ACA043" w14:textId="77777777" w:rsidR="00140CF0" w:rsidRPr="00837D2F" w:rsidRDefault="00140CF0" w:rsidP="00EA610C">
      <w:pPr>
        <w:numPr>
          <w:ilvl w:val="0"/>
          <w:numId w:val="8"/>
        </w:numPr>
      </w:pPr>
      <w:r w:rsidRPr="00837D2F">
        <w:t xml:space="preserve">Maximum percentage: 95 % of the total eligible costs of the action (see also Section 2.1.4). </w:t>
      </w:r>
    </w:p>
    <w:p w14:paraId="3A8CFB7D" w14:textId="77777777" w:rsidR="0007408E" w:rsidRPr="00807DAF" w:rsidRDefault="0007408E" w:rsidP="00F36C74">
      <w:pPr>
        <w:tabs>
          <w:tab w:val="num" w:pos="0"/>
        </w:tabs>
        <w:spacing w:after="120" w:line="240" w:lineRule="atLeast"/>
        <w:rPr>
          <w:szCs w:val="22"/>
        </w:rPr>
      </w:pPr>
      <w:r w:rsidRPr="00807DAF">
        <w:rPr>
          <w:szCs w:val="22"/>
        </w:rPr>
        <w:t>The balance</w:t>
      </w:r>
      <w:r w:rsidR="00470768" w:rsidRPr="00807DAF">
        <w:rPr>
          <w:szCs w:val="22"/>
        </w:rPr>
        <w:t xml:space="preserve"> (</w:t>
      </w:r>
      <w:proofErr w:type="gramStart"/>
      <w:r w:rsidR="00470768" w:rsidRPr="00807DAF">
        <w:rPr>
          <w:szCs w:val="22"/>
        </w:rPr>
        <w:t>i.e.</w:t>
      </w:r>
      <w:proofErr w:type="gramEnd"/>
      <w:r w:rsidR="00470768" w:rsidRPr="00807DAF">
        <w:rPr>
          <w:szCs w:val="22"/>
        </w:rPr>
        <w:t xml:space="preserve"> the difference between the total cost of the action and the amount requested from the </w:t>
      </w:r>
      <w:r w:rsidR="00D11783">
        <w:rPr>
          <w:szCs w:val="22"/>
        </w:rPr>
        <w:t>c</w:t>
      </w:r>
      <w:r w:rsidR="00470768" w:rsidRPr="00807DAF">
        <w:rPr>
          <w:szCs w:val="22"/>
        </w:rPr>
        <w:t xml:space="preserve">ontracting </w:t>
      </w:r>
      <w:r w:rsidR="00D11783">
        <w:rPr>
          <w:szCs w:val="22"/>
        </w:rPr>
        <w:t>a</w:t>
      </w:r>
      <w:r w:rsidR="00470768" w:rsidRPr="00807DAF">
        <w:rPr>
          <w:szCs w:val="22"/>
        </w:rPr>
        <w:t>uthority)</w:t>
      </w:r>
      <w:r w:rsidRPr="00807DAF">
        <w:rPr>
          <w:szCs w:val="22"/>
        </w:rPr>
        <w:t xml:space="preserve"> must be financed from sources other than the </w:t>
      </w:r>
      <w:r w:rsidR="00D11783">
        <w:rPr>
          <w:szCs w:val="22"/>
        </w:rPr>
        <w:t>general</w:t>
      </w:r>
      <w:r w:rsidR="00D65E10" w:rsidRPr="00807DAF">
        <w:rPr>
          <w:szCs w:val="22"/>
        </w:rPr>
        <w:t xml:space="preserve"> </w:t>
      </w:r>
      <w:r w:rsidR="00D11783">
        <w:rPr>
          <w:szCs w:val="22"/>
        </w:rPr>
        <w:t>b</w:t>
      </w:r>
      <w:r w:rsidRPr="00807DAF">
        <w:rPr>
          <w:szCs w:val="22"/>
        </w:rPr>
        <w:t>udget</w:t>
      </w:r>
      <w:r w:rsidR="00D11783">
        <w:rPr>
          <w:szCs w:val="22"/>
        </w:rPr>
        <w:t xml:space="preserve"> of the Union</w:t>
      </w:r>
      <w:r w:rsidR="007377DD" w:rsidRPr="00807DAF">
        <w:rPr>
          <w:szCs w:val="22"/>
        </w:rPr>
        <w:t xml:space="preserve"> or the European Development Fund</w:t>
      </w:r>
      <w:r w:rsidR="001D0C7B" w:rsidRPr="00807DAF">
        <w:rPr>
          <w:rStyle w:val="Funotenzeichen"/>
        </w:rPr>
        <w:footnoteReference w:id="7"/>
      </w:r>
      <w:r w:rsidR="004D357E" w:rsidRPr="00807DAF">
        <w:rPr>
          <w:szCs w:val="22"/>
        </w:rPr>
        <w:t>.</w:t>
      </w:r>
    </w:p>
    <w:p w14:paraId="4D98B962" w14:textId="77777777" w:rsidR="0007408E" w:rsidRPr="00807DAF" w:rsidRDefault="0007408E" w:rsidP="00EA610C">
      <w:pPr>
        <w:pStyle w:val="Guidelines1"/>
        <w:numPr>
          <w:ilvl w:val="0"/>
          <w:numId w:val="6"/>
        </w:numPr>
      </w:pPr>
      <w:bookmarkStart w:id="6" w:name="_Toc185257670"/>
      <w:r w:rsidRPr="00807DAF">
        <w:t xml:space="preserve">Rules </w:t>
      </w:r>
      <w:r w:rsidR="0024146B" w:rsidRPr="00807DAF">
        <w:t xml:space="preserve">FOR </w:t>
      </w:r>
      <w:r w:rsidRPr="00F37259">
        <w:t>thIS</w:t>
      </w:r>
      <w:r w:rsidRPr="00807DAF">
        <w:t xml:space="preserve"> call for proposalS</w:t>
      </w:r>
      <w:bookmarkEnd w:id="6"/>
    </w:p>
    <w:p w14:paraId="770CCFAC" w14:textId="77777777" w:rsidR="0007408E" w:rsidRPr="00807DAF" w:rsidRDefault="0007408E" w:rsidP="00F36C74">
      <w:pPr>
        <w:spacing w:after="120" w:line="240" w:lineRule="atLeast"/>
      </w:pPr>
      <w:r w:rsidRPr="00807DAF">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xml:space="preserve">, in conformity with the </w:t>
      </w:r>
      <w:r w:rsidR="009D7AC9">
        <w:t>p</w:t>
      </w:r>
      <w:r w:rsidRPr="00807DAF">
        <w:t xml:space="preserve">ractical </w:t>
      </w:r>
      <w:r w:rsidR="009D7AC9">
        <w:t>g</w:t>
      </w:r>
      <w:r w:rsidRPr="00807DAF">
        <w:t>uide</w:t>
      </w:r>
      <w:r w:rsidR="009556E4">
        <w:t xml:space="preserve"> (PRAG)</w:t>
      </w:r>
      <w:r w:rsidR="009E6254" w:rsidRPr="00807DAF">
        <w:t>, which is applicable to the present call</w:t>
      </w:r>
      <w:r w:rsidR="001A3FE1" w:rsidRPr="00807DAF">
        <w:t xml:space="preserve"> (</w:t>
      </w:r>
      <w:r w:rsidR="00087373" w:rsidRPr="00807DAF">
        <w:t>a</w:t>
      </w:r>
      <w:r w:rsidR="001A3FE1" w:rsidRPr="00807DAF">
        <w:t xml:space="preserve">vailable on the </w:t>
      </w:r>
      <w:r w:rsidR="00D11783">
        <w:t>i</w:t>
      </w:r>
      <w:r w:rsidR="001A3FE1" w:rsidRPr="00807DAF">
        <w:t>nternet at this address</w:t>
      </w:r>
      <w:r w:rsidR="00176C61" w:rsidRPr="008503BC">
        <w:t xml:space="preserve"> </w:t>
      </w:r>
      <w:hyperlink r:id="rId17" w:history="1">
        <w:r w:rsidR="00F874BB" w:rsidRPr="00556E3A">
          <w:rPr>
            <w:rStyle w:val="Hyperlink"/>
          </w:rPr>
          <w:t>https://wikis.ec.europa.eu/display/ExactExternalWiki/ePRAG</w:t>
        </w:r>
      </w:hyperlink>
      <w:r w:rsidR="00F874BB">
        <w:t xml:space="preserve"> </w:t>
      </w:r>
      <w:r w:rsidR="001A3FE1" w:rsidRPr="00807DAF">
        <w:t>)</w:t>
      </w:r>
      <w:r w:rsidRPr="00807DAF">
        <w:t>.</w:t>
      </w:r>
      <w:r w:rsidR="00C60C7C">
        <w:rPr>
          <w:rStyle w:val="Funotenzeichen"/>
        </w:rPr>
        <w:footnoteReference w:id="8"/>
      </w:r>
    </w:p>
    <w:p w14:paraId="4187E8FA" w14:textId="77777777" w:rsidR="0007408E" w:rsidRPr="00807DAF" w:rsidRDefault="0007408E" w:rsidP="00EA610C">
      <w:pPr>
        <w:pStyle w:val="Guidelines2"/>
        <w:numPr>
          <w:ilvl w:val="1"/>
          <w:numId w:val="6"/>
        </w:numPr>
      </w:pPr>
      <w:bookmarkStart w:id="7" w:name="_Toc185257671"/>
      <w:r w:rsidRPr="00807DAF">
        <w:t>Eligibility criteria</w:t>
      </w:r>
      <w:bookmarkEnd w:id="7"/>
    </w:p>
    <w:p w14:paraId="1601A374" w14:textId="77777777" w:rsidR="0007408E" w:rsidRPr="00807DAF" w:rsidRDefault="0007408E" w:rsidP="00F36C74">
      <w:pPr>
        <w:spacing w:after="120" w:line="240" w:lineRule="atLeast"/>
      </w:pPr>
      <w:r w:rsidRPr="00807DAF">
        <w:t>There are three sets of eligibility criteria, relating to:</w:t>
      </w:r>
    </w:p>
    <w:p w14:paraId="57E84A71" w14:textId="77777777" w:rsidR="003477DE" w:rsidRPr="00807DAF" w:rsidRDefault="00296A25" w:rsidP="00EA610C">
      <w:pPr>
        <w:numPr>
          <w:ilvl w:val="0"/>
          <w:numId w:val="18"/>
        </w:numPr>
        <w:spacing w:after="120" w:line="240" w:lineRule="atLeast"/>
      </w:pPr>
      <w:r w:rsidRPr="00807DAF">
        <w:t>the actors</w:t>
      </w:r>
      <w:r w:rsidR="00CB450B">
        <w:t xml:space="preserve"> (2.1.1.)</w:t>
      </w:r>
      <w:r w:rsidRPr="00807DAF">
        <w:t>:</w:t>
      </w:r>
    </w:p>
    <w:p w14:paraId="057CBED3" w14:textId="77777777" w:rsidR="003477DE" w:rsidRPr="00807DAF" w:rsidRDefault="006A36F9" w:rsidP="00EA610C">
      <w:pPr>
        <w:numPr>
          <w:ilvl w:val="0"/>
          <w:numId w:val="9"/>
        </w:numPr>
        <w:spacing w:after="120" w:line="240" w:lineRule="atLeast"/>
        <w:ind w:left="1134"/>
      </w:pPr>
      <w:r w:rsidRPr="00807DAF">
        <w:t xml:space="preserve">The </w:t>
      </w:r>
      <w:r w:rsidR="00D11783">
        <w:t>‘</w:t>
      </w:r>
      <w:r w:rsidR="00ED0176">
        <w:rPr>
          <w:b/>
        </w:rPr>
        <w:t>lead a</w:t>
      </w:r>
      <w:r w:rsidRPr="00807DAF">
        <w:rPr>
          <w:b/>
        </w:rPr>
        <w:t>pplicant</w:t>
      </w:r>
      <w:r w:rsidR="00D11783">
        <w:rPr>
          <w:b/>
        </w:rPr>
        <w:t>’</w:t>
      </w:r>
      <w:r w:rsidRPr="00807DAF">
        <w:t xml:space="preserve">, </w:t>
      </w:r>
      <w:proofErr w:type="gramStart"/>
      <w:r w:rsidR="00296A25" w:rsidRPr="00807DAF">
        <w:t>i.e.</w:t>
      </w:r>
      <w:proofErr w:type="gramEnd"/>
      <w:r w:rsidR="00296A25" w:rsidRPr="00807DAF">
        <w:t xml:space="preserve"> </w:t>
      </w:r>
      <w:r w:rsidR="00A31B91" w:rsidRPr="00807DAF">
        <w:t>the entity</w:t>
      </w:r>
      <w:r w:rsidRPr="00807DAF">
        <w:t xml:space="preserve"> </w:t>
      </w:r>
      <w:r w:rsidR="00D54450" w:rsidRPr="00807DAF">
        <w:t>submit</w:t>
      </w:r>
      <w:r w:rsidR="00A31B91" w:rsidRPr="00807DAF">
        <w:t>ting</w:t>
      </w:r>
      <w:r w:rsidR="00D54450" w:rsidRPr="00807DAF">
        <w:t xml:space="preserve"> the application form</w:t>
      </w:r>
      <w:r w:rsidR="00054F87">
        <w:t>;</w:t>
      </w:r>
    </w:p>
    <w:p w14:paraId="1DB15C1A" w14:textId="77777777" w:rsidR="003477DE" w:rsidRPr="00807DAF" w:rsidRDefault="00A31B91" w:rsidP="00EA610C">
      <w:pPr>
        <w:numPr>
          <w:ilvl w:val="0"/>
          <w:numId w:val="9"/>
        </w:numPr>
        <w:spacing w:after="120" w:line="240" w:lineRule="atLeast"/>
        <w:ind w:left="1134"/>
      </w:pPr>
      <w:r w:rsidRPr="00807DAF">
        <w:t xml:space="preserve">if any, </w:t>
      </w:r>
      <w:r w:rsidR="009901E5" w:rsidRPr="00807DAF">
        <w:t>its</w:t>
      </w:r>
      <w:r w:rsidR="006A36F9" w:rsidRPr="00807DAF">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 xml:space="preserve">jointly referred as </w:t>
      </w:r>
      <w:r w:rsidR="00D11783" w:rsidRPr="00D34B88">
        <w:rPr>
          <w:b/>
          <w:u w:val="single"/>
        </w:rPr>
        <w:t>‘</w:t>
      </w:r>
      <w:r w:rsidR="006A36F9" w:rsidRPr="00F53E16">
        <w:rPr>
          <w:b/>
          <w:u w:val="single"/>
        </w:rPr>
        <w:t>applicant</w:t>
      </w:r>
      <w:r w:rsidR="009F3146" w:rsidRPr="00F53E16">
        <w:rPr>
          <w:b/>
          <w:u w:val="single"/>
        </w:rPr>
        <w:t>(</w:t>
      </w:r>
      <w:r w:rsidR="006A36F9" w:rsidRPr="00F53E16">
        <w:rPr>
          <w:b/>
          <w:u w:val="single"/>
        </w:rPr>
        <w:t>s</w:t>
      </w:r>
      <w:r w:rsidR="009F3146" w:rsidRPr="00F53E16">
        <w:rPr>
          <w:b/>
          <w:u w:val="single"/>
        </w:rPr>
        <w:t>)</w:t>
      </w:r>
      <w:r w:rsidR="00D11783" w:rsidRPr="00F53E16">
        <w:rPr>
          <w:b/>
          <w:u w:val="single"/>
        </w:rPr>
        <w:t>’</w:t>
      </w:r>
      <w:r w:rsidRPr="00807DAF">
        <w:t>)</w:t>
      </w:r>
      <w:r w:rsidR="00054F87">
        <w:t>;</w:t>
      </w:r>
    </w:p>
    <w:p w14:paraId="382714CF" w14:textId="77777777" w:rsidR="00E95995" w:rsidRPr="00807DAF" w:rsidRDefault="006A36F9" w:rsidP="00EA610C">
      <w:pPr>
        <w:numPr>
          <w:ilvl w:val="0"/>
          <w:numId w:val="9"/>
        </w:numPr>
        <w:spacing w:after="120" w:line="240" w:lineRule="atLeast"/>
        <w:ind w:left="1134"/>
      </w:pPr>
      <w:r w:rsidRPr="00807DAF">
        <w:t>and</w:t>
      </w:r>
      <w:r w:rsidR="00A31B91" w:rsidRPr="00807DAF">
        <w:t>, if any,</w:t>
      </w:r>
      <w:r w:rsidRPr="00807DAF">
        <w:t xml:space="preserve"> </w:t>
      </w:r>
      <w:r w:rsidR="00A31B91" w:rsidRPr="00807DAF">
        <w:rPr>
          <w:b/>
        </w:rPr>
        <w:t>affiliated entity(</w:t>
      </w:r>
      <w:proofErr w:type="spellStart"/>
      <w:r w:rsidR="00A31B91" w:rsidRPr="00807DAF">
        <w:rPr>
          <w:b/>
        </w:rPr>
        <w:t>ies</w:t>
      </w:r>
      <w:proofErr w:type="spellEnd"/>
      <w:r w:rsidR="00A31B91" w:rsidRPr="00807DAF">
        <w:rPr>
          <w:b/>
        </w:rPr>
        <w:t>)</w:t>
      </w:r>
      <w:r w:rsidR="00296A25" w:rsidRPr="00807DAF">
        <w:rPr>
          <w:b/>
        </w:rPr>
        <w:t xml:space="preserve"> </w:t>
      </w:r>
      <w:r w:rsidR="00296A25" w:rsidRPr="00807DAF">
        <w:t xml:space="preserve">to the </w:t>
      </w:r>
      <w:r w:rsidR="00ED0176">
        <w:t>lead a</w:t>
      </w:r>
      <w:r w:rsidR="00296A25" w:rsidRPr="00807DAF">
        <w:t>pplicant and/or to a co-applicant(s)</w:t>
      </w:r>
      <w:r w:rsidRPr="00807DAF">
        <w:t>;</w:t>
      </w:r>
    </w:p>
    <w:p w14:paraId="4E5607FD" w14:textId="77777777" w:rsidR="00E95995" w:rsidRPr="00807DAF" w:rsidRDefault="00296A25" w:rsidP="00EA610C">
      <w:pPr>
        <w:numPr>
          <w:ilvl w:val="0"/>
          <w:numId w:val="18"/>
        </w:numPr>
        <w:spacing w:after="120" w:line="240" w:lineRule="atLeast"/>
      </w:pPr>
      <w:r w:rsidRPr="00807DAF">
        <w:t xml:space="preserve">the </w:t>
      </w:r>
      <w:r w:rsidR="00F06309" w:rsidRPr="00807DAF">
        <w:t>a</w:t>
      </w:r>
      <w:r w:rsidR="006F1CFC" w:rsidRPr="00807DAF">
        <w:t>ctions</w:t>
      </w:r>
      <w:r w:rsidR="00CB450B">
        <w:t xml:space="preserve"> (2.1.3.)</w:t>
      </w:r>
      <w:r w:rsidRPr="00807DAF">
        <w:t>:</w:t>
      </w:r>
    </w:p>
    <w:p w14:paraId="557D56FE" w14:textId="77777777" w:rsidR="003477DE" w:rsidRPr="00807DAF" w:rsidRDefault="006264EC" w:rsidP="00F36C74">
      <w:pPr>
        <w:tabs>
          <w:tab w:val="left" w:pos="1134"/>
        </w:tabs>
        <w:spacing w:after="120" w:line="240" w:lineRule="atLeast"/>
        <w:ind w:left="720"/>
      </w:pPr>
      <w:r w:rsidRPr="0090348E">
        <w:rPr>
          <w:sz w:val="28"/>
          <w:szCs w:val="28"/>
        </w:rPr>
        <w:t>•</w:t>
      </w:r>
      <w:r w:rsidR="001F22BC">
        <w:tab/>
      </w:r>
      <w:r>
        <w:t>a</w:t>
      </w:r>
      <w:r w:rsidR="006F1CFC" w:rsidRPr="00807DAF">
        <w:t>ction</w:t>
      </w:r>
      <w:r w:rsidR="00A07623" w:rsidRPr="00807DAF">
        <w:t>s</w:t>
      </w:r>
      <w:r w:rsidR="003477DE" w:rsidRPr="00807DAF">
        <w:t xml:space="preserve"> for which a grant may be awarde</w:t>
      </w:r>
      <w:r>
        <w:t>d</w:t>
      </w:r>
      <w:r w:rsidR="003477DE" w:rsidRPr="00807DAF">
        <w:t>;</w:t>
      </w:r>
    </w:p>
    <w:p w14:paraId="447F1F32" w14:textId="77777777" w:rsidR="00E95995" w:rsidRPr="00807DAF" w:rsidRDefault="00AB1C93" w:rsidP="00EA610C">
      <w:pPr>
        <w:numPr>
          <w:ilvl w:val="0"/>
          <w:numId w:val="18"/>
        </w:numPr>
        <w:spacing w:after="120" w:line="240" w:lineRule="atLeast"/>
      </w:pPr>
      <w:bookmarkStart w:id="8" w:name="_Hlk163811856"/>
      <w:bookmarkStart w:id="9" w:name="_Hlk163804804"/>
      <w:r>
        <w:t xml:space="preserve">the eligible costs or </w:t>
      </w:r>
      <w:r w:rsidR="005E0C27">
        <w:t>results/conditions</w:t>
      </w:r>
      <w:r>
        <w:t xml:space="preserve"> (2.1.4.):</w:t>
      </w:r>
    </w:p>
    <w:p w14:paraId="5BDCA198" w14:textId="77777777" w:rsidR="00267E4F" w:rsidRDefault="00AB1C93" w:rsidP="00EA610C">
      <w:pPr>
        <w:numPr>
          <w:ilvl w:val="0"/>
          <w:numId w:val="9"/>
        </w:numPr>
        <w:spacing w:after="120" w:line="240" w:lineRule="atLeast"/>
        <w:ind w:left="1134"/>
      </w:pPr>
      <w:r>
        <w:t xml:space="preserve">where the grant takes the form of reimbursement of costs (totally or partially): </w:t>
      </w:r>
      <w:r w:rsidRPr="00807DAF">
        <w:t xml:space="preserve">the </w:t>
      </w:r>
      <w:r>
        <w:t xml:space="preserve">eligible </w:t>
      </w:r>
      <w:r w:rsidRPr="00807DAF">
        <w:t>costs</w:t>
      </w:r>
      <w:r>
        <w:t xml:space="preserve">, the </w:t>
      </w:r>
      <w:r w:rsidR="0007408E" w:rsidRPr="00807DAF">
        <w:t xml:space="preserve">types of cost </w:t>
      </w:r>
      <w:r w:rsidR="00AA424B" w:rsidRPr="00807DAF">
        <w:t xml:space="preserve">that </w:t>
      </w:r>
      <w:r w:rsidR="0007408E" w:rsidRPr="00807DAF">
        <w:t>may be taken into account in setting the amount of the grant.</w:t>
      </w:r>
    </w:p>
    <w:p w14:paraId="3A303BA8" w14:textId="77777777" w:rsidR="00AB1C93" w:rsidRPr="00807DAF" w:rsidRDefault="00085BC3" w:rsidP="00EA610C">
      <w:pPr>
        <w:numPr>
          <w:ilvl w:val="0"/>
          <w:numId w:val="9"/>
        </w:numPr>
        <w:spacing w:after="120" w:line="240" w:lineRule="atLeast"/>
        <w:ind w:left="1134"/>
      </w:pPr>
      <w:r>
        <w:t>w</w:t>
      </w:r>
      <w:r w:rsidR="00AB1C93">
        <w:t xml:space="preserve">here the grant takes the form of financing not linked to costs (totally or partially): the eligibility conditions for </w:t>
      </w:r>
      <w:r w:rsidR="005E0C27">
        <w:t>the results/conditions.</w:t>
      </w:r>
      <w:bookmarkEnd w:id="8"/>
    </w:p>
    <w:p w14:paraId="676D6409" w14:textId="77777777" w:rsidR="0007408E" w:rsidRPr="008F411B" w:rsidRDefault="0007408E" w:rsidP="00EA610C">
      <w:pPr>
        <w:pStyle w:val="Guidelines3"/>
        <w:numPr>
          <w:ilvl w:val="2"/>
          <w:numId w:val="6"/>
        </w:numPr>
      </w:pPr>
      <w:bookmarkStart w:id="10" w:name="_Toc185257672"/>
      <w:bookmarkEnd w:id="9"/>
      <w:r w:rsidRPr="008F411B">
        <w:lastRenderedPageBreak/>
        <w:t>Eligibility of applicant</w:t>
      </w:r>
      <w:r w:rsidR="00A2450D" w:rsidRPr="008F411B">
        <w:t>s</w:t>
      </w:r>
      <w:r w:rsidR="00C4172B" w:rsidRPr="008F411B">
        <w:t xml:space="preserve"> (</w:t>
      </w:r>
      <w:proofErr w:type="gramStart"/>
      <w:r w:rsidR="00C4172B" w:rsidRPr="008F411B">
        <w:t>i.e.</w:t>
      </w:r>
      <w:proofErr w:type="gramEnd"/>
      <w:r w:rsidR="00C4172B" w:rsidRPr="008F411B">
        <w:t xml:space="preserve"> </w:t>
      </w:r>
      <w:r w:rsidR="00ED0176" w:rsidRPr="008F411B">
        <w:t>lead a</w:t>
      </w:r>
      <w:r w:rsidR="00C4172B" w:rsidRPr="008F411B">
        <w:t>pplicant and co-applicant(s))</w:t>
      </w:r>
      <w:bookmarkEnd w:id="10"/>
    </w:p>
    <w:p w14:paraId="6AA39C76" w14:textId="77777777" w:rsidR="004127BD" w:rsidRPr="00951BF6" w:rsidRDefault="00ED0176" w:rsidP="00F36C74">
      <w:pPr>
        <w:spacing w:after="120" w:line="240" w:lineRule="atLeast"/>
        <w:rPr>
          <w:b/>
        </w:rPr>
      </w:pPr>
      <w:r w:rsidRPr="00951BF6">
        <w:rPr>
          <w:b/>
        </w:rPr>
        <w:t>Lead a</w:t>
      </w:r>
      <w:r w:rsidR="004127BD" w:rsidRPr="007E4F56">
        <w:rPr>
          <w:b/>
        </w:rPr>
        <w:t>pplicant</w:t>
      </w:r>
    </w:p>
    <w:p w14:paraId="21B649FD" w14:textId="77777777" w:rsidR="0007408E" w:rsidRPr="00807DAF" w:rsidRDefault="006A36F9" w:rsidP="00F36C74">
      <w:pPr>
        <w:spacing w:after="120" w:line="240" w:lineRule="atLeast"/>
        <w:ind w:left="426" w:hanging="426"/>
      </w:pPr>
      <w:r w:rsidRPr="00807DAF">
        <w:t xml:space="preserve">In order to be eligible for a grant, the </w:t>
      </w:r>
      <w:r w:rsidR="00ED0176">
        <w:t>lead a</w:t>
      </w:r>
      <w:r w:rsidRPr="00807DAF">
        <w:t>pplicant must:</w:t>
      </w:r>
    </w:p>
    <w:p w14:paraId="694130B2" w14:textId="77777777" w:rsidR="0007408E" w:rsidRPr="00807DAF" w:rsidRDefault="0007408E" w:rsidP="00EA610C">
      <w:pPr>
        <w:numPr>
          <w:ilvl w:val="0"/>
          <w:numId w:val="10"/>
        </w:numPr>
        <w:tabs>
          <w:tab w:val="left" w:pos="993"/>
        </w:tabs>
        <w:spacing w:after="120" w:line="240" w:lineRule="atLeast"/>
        <w:ind w:left="1134" w:hanging="567"/>
      </w:pPr>
      <w:r w:rsidRPr="00807DAF">
        <w:t xml:space="preserve">be </w:t>
      </w:r>
      <w:r w:rsidR="00AD3EB3" w:rsidRPr="00807DAF">
        <w:t xml:space="preserve">a </w:t>
      </w:r>
      <w:r w:rsidR="00C175CE" w:rsidRPr="00807DAF">
        <w:t>legal person</w:t>
      </w:r>
      <w:r w:rsidR="00792D34" w:rsidRPr="00807DAF">
        <w:t xml:space="preserve"> </w:t>
      </w:r>
      <w:r w:rsidR="00792D34" w:rsidRPr="00807DAF">
        <w:rPr>
          <w:b/>
        </w:rPr>
        <w:t>and</w:t>
      </w:r>
      <w:r w:rsidRPr="00807DAF">
        <w:rPr>
          <w:b/>
        </w:rPr>
        <w:t xml:space="preserve"> </w:t>
      </w:r>
    </w:p>
    <w:p w14:paraId="04F608F0" w14:textId="77777777" w:rsidR="0032711C" w:rsidRPr="00807DAF" w:rsidRDefault="0032711C" w:rsidP="00EA610C">
      <w:pPr>
        <w:numPr>
          <w:ilvl w:val="0"/>
          <w:numId w:val="10"/>
        </w:numPr>
        <w:tabs>
          <w:tab w:val="left" w:pos="993"/>
        </w:tabs>
        <w:spacing w:after="120" w:line="240" w:lineRule="atLeast"/>
        <w:ind w:left="993" w:hanging="426"/>
      </w:pPr>
      <w:r w:rsidRPr="00807DAF">
        <w:t>be non</w:t>
      </w:r>
      <w:r w:rsidR="00AA424B" w:rsidRPr="00807DAF">
        <w:t>-</w:t>
      </w:r>
      <w:r w:rsidRPr="00807DAF">
        <w:t>profit</w:t>
      </w:r>
      <w:r w:rsidR="00AA424B" w:rsidRPr="00807DAF">
        <w:t>-</w:t>
      </w:r>
      <w:r w:rsidRPr="00807DAF">
        <w:t>making</w:t>
      </w:r>
      <w:r w:rsidR="00792D34" w:rsidRPr="00807DAF">
        <w:t xml:space="preserve"> </w:t>
      </w:r>
      <w:r w:rsidR="00792D34" w:rsidRPr="00D14F8D">
        <w:rPr>
          <w:b/>
        </w:rPr>
        <w:t>and</w:t>
      </w:r>
    </w:p>
    <w:p w14:paraId="6DC1A4B8" w14:textId="77777777" w:rsidR="0007408E" w:rsidRPr="001B56F6" w:rsidRDefault="0007408E" w:rsidP="00EA610C">
      <w:pPr>
        <w:numPr>
          <w:ilvl w:val="0"/>
          <w:numId w:val="26"/>
        </w:numPr>
        <w:tabs>
          <w:tab w:val="left" w:pos="-1440"/>
          <w:tab w:val="left" w:pos="-720"/>
          <w:tab w:val="left" w:pos="993"/>
        </w:tabs>
        <w:spacing w:after="120" w:line="240" w:lineRule="atLeast"/>
        <w:ind w:left="993" w:hanging="426"/>
      </w:pPr>
      <w:r w:rsidRPr="001B56F6">
        <w:t xml:space="preserve">be </w:t>
      </w:r>
      <w:r w:rsidR="00195EAB" w:rsidRPr="001B56F6">
        <w:t xml:space="preserve">a </w:t>
      </w:r>
      <w:r w:rsidR="009D29CA" w:rsidRPr="001B56F6">
        <w:t xml:space="preserve">specific </w:t>
      </w:r>
      <w:r w:rsidRPr="001B56F6">
        <w:t>type of organisation such as: non-governmental organisation</w:t>
      </w:r>
      <w:r w:rsidR="009B0E73" w:rsidRPr="001B56F6">
        <w:rPr>
          <w:rStyle w:val="Funotenzeichen"/>
        </w:rPr>
        <w:footnoteReference w:id="9"/>
      </w:r>
      <w:r w:rsidRPr="001B56F6">
        <w:t>, local authorit</w:t>
      </w:r>
      <w:r w:rsidR="00195EAB" w:rsidRPr="001B56F6">
        <w:t>y</w:t>
      </w:r>
      <w:r w:rsidRPr="001B56F6">
        <w:t>, international (inter-governmental) organisation</w:t>
      </w:r>
      <w:r w:rsidR="00341C39" w:rsidRPr="001B56F6">
        <w:t xml:space="preserve"> as defined by </w:t>
      </w:r>
      <w:r w:rsidR="00392B2D" w:rsidRPr="001B56F6">
        <w:t xml:space="preserve">Article </w:t>
      </w:r>
      <w:r w:rsidR="00EE7F20" w:rsidRPr="001B56F6">
        <w:t xml:space="preserve">159(1) </w:t>
      </w:r>
      <w:r w:rsidR="00DC45A8" w:rsidRPr="001B56F6">
        <w:t xml:space="preserve">of </w:t>
      </w:r>
      <w:r w:rsidR="00341C39" w:rsidRPr="001B56F6">
        <w:t>the E</w:t>
      </w:r>
      <w:r w:rsidR="00DC45A8" w:rsidRPr="001B56F6">
        <w:t>U</w:t>
      </w:r>
      <w:r w:rsidR="00341C39" w:rsidRPr="001B56F6">
        <w:t xml:space="preserve"> Financial Regulation</w:t>
      </w:r>
      <w:r w:rsidR="00341C39" w:rsidRPr="001B56F6">
        <w:rPr>
          <w:rStyle w:val="Funotenzeichen"/>
        </w:rPr>
        <w:footnoteReference w:id="10"/>
      </w:r>
      <w:r w:rsidR="00167D43" w:rsidRPr="001B56F6">
        <w:t xml:space="preserve"> </w:t>
      </w:r>
      <w:r w:rsidR="00D14F8D" w:rsidRPr="001B56F6">
        <w:rPr>
          <w:b/>
        </w:rPr>
        <w:t>a</w:t>
      </w:r>
      <w:r w:rsidR="00341C39" w:rsidRPr="001B56F6">
        <w:rPr>
          <w:b/>
        </w:rPr>
        <w:t>nd</w:t>
      </w:r>
      <w:r w:rsidR="0090348E" w:rsidRPr="001B56F6">
        <w:rPr>
          <w:b/>
        </w:rPr>
        <w:t xml:space="preserve"> </w:t>
      </w:r>
    </w:p>
    <w:p w14:paraId="38D91643" w14:textId="5FFDB60D" w:rsidR="000C2C50" w:rsidRPr="001B56F6" w:rsidRDefault="004B573E" w:rsidP="00EA610C">
      <w:pPr>
        <w:numPr>
          <w:ilvl w:val="0"/>
          <w:numId w:val="26"/>
        </w:numPr>
        <w:spacing w:after="120" w:line="240" w:lineRule="atLeast"/>
        <w:ind w:left="993" w:hanging="426"/>
      </w:pPr>
      <w:r w:rsidRPr="001B56F6">
        <w:t>be</w:t>
      </w:r>
      <w:r w:rsidR="00EE7F20" w:rsidRPr="001B56F6">
        <w:t xml:space="preserve"> effectively</w:t>
      </w:r>
      <w:r w:rsidRPr="001B56F6">
        <w:t xml:space="preserve"> </w:t>
      </w:r>
      <w:r w:rsidR="00C9081A" w:rsidRPr="001B56F6">
        <w:t>established in</w:t>
      </w:r>
      <w:bookmarkStart w:id="12" w:name="_Ref54605258"/>
      <w:r w:rsidR="00D220FF" w:rsidRPr="001B56F6">
        <w:rPr>
          <w:rStyle w:val="Funotenzeichen"/>
        </w:rPr>
        <w:footnoteReference w:id="11"/>
      </w:r>
      <w:bookmarkEnd w:id="12"/>
      <w:r w:rsidR="00C9081A" w:rsidRPr="001B56F6">
        <w:t xml:space="preserve"> </w:t>
      </w:r>
      <w:r w:rsidR="00A805BC" w:rsidRPr="001B56F6">
        <w:t xml:space="preserve">a Member State of the European Union or </w:t>
      </w:r>
      <w:r w:rsidR="009C1FAF" w:rsidRPr="001B56F6">
        <w:t xml:space="preserve">Republic of Moldova or any other </w:t>
      </w:r>
      <w:r w:rsidR="0007408E" w:rsidRPr="001B56F6">
        <w:t>eligible countries</w:t>
      </w:r>
      <w:r w:rsidR="0064630F" w:rsidRPr="001B56F6">
        <w:t xml:space="preserve"> as stipulated in the basic act</w:t>
      </w:r>
      <w:r w:rsidR="001B56F6" w:rsidRPr="001B56F6">
        <w:t xml:space="preserve"> </w:t>
      </w:r>
      <w:r w:rsidR="00D71483" w:rsidRPr="001B56F6">
        <w:t>NDICI</w:t>
      </w:r>
      <w:r w:rsidR="00757D80" w:rsidRPr="001B56F6">
        <w:t>-GE</w:t>
      </w:r>
      <w:r w:rsidR="00103811" w:rsidRPr="001B56F6">
        <w:rPr>
          <w:rStyle w:val="Funotenzeichen"/>
        </w:rPr>
        <w:footnoteReference w:id="12"/>
      </w:r>
      <w:r w:rsidR="000C2C50" w:rsidRPr="001B56F6">
        <w:t xml:space="preserve">. </w:t>
      </w:r>
      <w:bookmarkStart w:id="13" w:name="_Hlk163805005"/>
      <w:r w:rsidR="00FD04A6" w:rsidRPr="001B56F6">
        <w:t>Due to the legal status of international organisations, the obligation of effective establishment in the referred countries does not apply to international organisations, where the latter are eligible</w:t>
      </w:r>
      <w:r w:rsidR="000C2C50" w:rsidRPr="001B56F6">
        <w:t xml:space="preserve">, </w:t>
      </w:r>
      <w:r w:rsidR="000C2C50" w:rsidRPr="001B56F6">
        <w:rPr>
          <w:b/>
        </w:rPr>
        <w:t>and</w:t>
      </w:r>
      <w:bookmarkEnd w:id="13"/>
    </w:p>
    <w:p w14:paraId="7B37E612" w14:textId="77777777" w:rsidR="00F77C37" w:rsidRDefault="0007408E" w:rsidP="00EA610C">
      <w:pPr>
        <w:numPr>
          <w:ilvl w:val="0"/>
          <w:numId w:val="10"/>
        </w:numPr>
        <w:tabs>
          <w:tab w:val="left" w:pos="993"/>
        </w:tabs>
        <w:spacing w:after="120" w:line="240" w:lineRule="atLeast"/>
        <w:ind w:left="993" w:hanging="426"/>
      </w:pPr>
      <w:r w:rsidRPr="00807DAF">
        <w:t>be directly responsible for the preparation and management of the action</w:t>
      </w:r>
      <w:r w:rsidR="004B573E" w:rsidRPr="00807DAF">
        <w:t xml:space="preserve"> with </w:t>
      </w:r>
      <w:r w:rsidR="00E53D76" w:rsidRPr="00807DAF">
        <w:t>the co-applicant(s) and affiliated entity(</w:t>
      </w:r>
      <w:proofErr w:type="spellStart"/>
      <w:r w:rsidR="00E53D76" w:rsidRPr="00807DAF">
        <w:t>ies</w:t>
      </w:r>
      <w:proofErr w:type="spellEnd"/>
      <w:r w:rsidR="00E53D76" w:rsidRPr="00807DAF">
        <w:t xml:space="preserve">), </w:t>
      </w:r>
      <w:r w:rsidRPr="00807DAF">
        <w:t>not acting as an intermediary</w:t>
      </w:r>
      <w:r w:rsidR="00F77C37">
        <w:t xml:space="preserve">, </w:t>
      </w:r>
      <w:r w:rsidR="00F77C37">
        <w:rPr>
          <w:b/>
          <w:bCs/>
        </w:rPr>
        <w:t>and</w:t>
      </w:r>
      <w:r w:rsidR="00341C39" w:rsidRPr="00807DAF">
        <w:t xml:space="preserve"> </w:t>
      </w:r>
    </w:p>
    <w:p w14:paraId="2A8249A9" w14:textId="77777777" w:rsidR="0007408E" w:rsidRPr="00807DAF" w:rsidRDefault="00F77C37" w:rsidP="00EA610C">
      <w:pPr>
        <w:numPr>
          <w:ilvl w:val="0"/>
          <w:numId w:val="10"/>
        </w:numPr>
        <w:tabs>
          <w:tab w:val="left" w:pos="993"/>
        </w:tabs>
        <w:spacing w:after="120" w:line="240" w:lineRule="atLeast"/>
        <w:ind w:left="993" w:hanging="426"/>
      </w:pPr>
      <w:bookmarkStart w:id="14" w:name="_Hlk163812180"/>
      <w:bookmarkStart w:id="15" w:name="_Hlk163805065"/>
      <w:r>
        <w:t>not being in any of the situation</w:t>
      </w:r>
      <w:r w:rsidR="00740093">
        <w:t>s</w:t>
      </w:r>
      <w:r>
        <w:t xml:space="preserve"> listed in Section 2.4. </w:t>
      </w:r>
      <w:r w:rsidRPr="00807DAF">
        <w:t xml:space="preserve">of the </w:t>
      </w:r>
      <w:r>
        <w:t>p</w:t>
      </w:r>
      <w:r w:rsidRPr="00807DAF">
        <w:t xml:space="preserve">ractical </w:t>
      </w:r>
      <w:r>
        <w:t>g</w:t>
      </w:r>
      <w:r w:rsidRPr="00807DAF">
        <w:t>uide</w:t>
      </w:r>
      <w:bookmarkEnd w:id="14"/>
      <w:bookmarkEnd w:id="15"/>
      <w:r w:rsidR="00B542BD">
        <w:t>.</w:t>
      </w:r>
    </w:p>
    <w:p w14:paraId="63509B74" w14:textId="77777777" w:rsidR="00B542BD" w:rsidRDefault="006A36F9" w:rsidP="001B7D50">
      <w:pPr>
        <w:spacing w:after="120" w:line="240" w:lineRule="atLeast"/>
      </w:pPr>
      <w:r w:rsidRPr="00807DAF">
        <w:t xml:space="preserve">The </w:t>
      </w:r>
      <w:r w:rsidR="00BD53D5">
        <w:t>lead a</w:t>
      </w:r>
      <w:r w:rsidRPr="00807DAF">
        <w:t xml:space="preserve">pplicant </w:t>
      </w:r>
      <w:r w:rsidR="00B542BD">
        <w:t>must</w:t>
      </w:r>
      <w:r w:rsidRPr="00807DAF">
        <w:t xml:space="preserve"> act with co-applicant(s) as specified hereafter</w:t>
      </w:r>
      <w:r w:rsidR="00B542BD">
        <w:t>.</w:t>
      </w:r>
    </w:p>
    <w:p w14:paraId="2668A0C9" w14:textId="77777777" w:rsidR="00296A25" w:rsidRPr="00807DAF" w:rsidRDefault="00B542BD" w:rsidP="001B7D50">
      <w:pPr>
        <w:spacing w:after="120" w:line="240" w:lineRule="atLeast"/>
      </w:pPr>
      <w:r>
        <w:t>If</w:t>
      </w:r>
      <w:r w:rsidR="00D80885" w:rsidRPr="00807DAF">
        <w:t xml:space="preserve"> awarded the </w:t>
      </w:r>
      <w:r w:rsidR="00176B31">
        <w:t>g</w:t>
      </w:r>
      <w:r w:rsidR="00D80885" w:rsidRPr="00807DAF">
        <w:t xml:space="preserve">rant contract, the </w:t>
      </w:r>
      <w:r w:rsidR="00BD53D5">
        <w:t>lead a</w:t>
      </w:r>
      <w:r w:rsidR="00D80885" w:rsidRPr="00807DAF">
        <w:t>pplicant will become the</w:t>
      </w:r>
      <w:r w:rsidR="00C25630">
        <w:t xml:space="preserve"> </w:t>
      </w:r>
      <w:r w:rsidR="00176B31">
        <w:t>b</w:t>
      </w:r>
      <w:r w:rsidR="00D80885" w:rsidRPr="00807DAF">
        <w:t xml:space="preserve">eneficiary identified as the </w:t>
      </w:r>
      <w:r w:rsidR="00D11783">
        <w:t>c</w:t>
      </w:r>
      <w:r w:rsidR="00D80885" w:rsidRPr="00807DAF">
        <w:t xml:space="preserve">oordinator in </w:t>
      </w:r>
      <w:r w:rsidR="002A66CB">
        <w:t>A</w:t>
      </w:r>
      <w:r w:rsidR="00D80885" w:rsidRPr="00807DAF">
        <w:t xml:space="preserve">nnex </w:t>
      </w:r>
      <w:r w:rsidR="00826F51">
        <w:t>G</w:t>
      </w:r>
      <w:r w:rsidR="00E73231" w:rsidRPr="00807DAF">
        <w:t xml:space="preserve"> </w:t>
      </w:r>
      <w:r w:rsidR="00D80885" w:rsidRPr="00807DAF">
        <w:t>(</w:t>
      </w:r>
      <w:r w:rsidR="00D11783">
        <w:t>s</w:t>
      </w:r>
      <w:r w:rsidR="00D80885" w:rsidRPr="00807DAF">
        <w:t xml:space="preserve">pecial </w:t>
      </w:r>
      <w:r w:rsidR="00D11783">
        <w:t>c</w:t>
      </w:r>
      <w:r w:rsidR="00D80885" w:rsidRPr="00807DAF">
        <w:t xml:space="preserve">onditions). The </w:t>
      </w:r>
      <w:r w:rsidR="00D11783">
        <w:t>c</w:t>
      </w:r>
      <w:r w:rsidR="00D80885" w:rsidRPr="00807DAF">
        <w:t xml:space="preserve">oordinator is the </w:t>
      </w:r>
      <w:r w:rsidR="00114EE7">
        <w:t>sole</w:t>
      </w:r>
      <w:r w:rsidR="00F51BDC">
        <w:t xml:space="preserve"> </w:t>
      </w:r>
      <w:r w:rsidR="00D80885" w:rsidRPr="00807DAF">
        <w:t xml:space="preserve">interlocutor of the </w:t>
      </w:r>
      <w:r w:rsidR="00D11783">
        <w:t>c</w:t>
      </w:r>
      <w:r w:rsidR="00D80885" w:rsidRPr="00807DAF">
        <w:t xml:space="preserve">ontracting </w:t>
      </w:r>
      <w:r w:rsidR="00D11783">
        <w:t>a</w:t>
      </w:r>
      <w:r w:rsidR="00D80885" w:rsidRPr="00807DAF">
        <w:t xml:space="preserve">uthority. It represents and acts on behalf of any other co-beneficiary (if any) and coordinate the design and implementation of the </w:t>
      </w:r>
      <w:r w:rsidR="00176B31">
        <w:t>a</w:t>
      </w:r>
      <w:r w:rsidR="00D80885" w:rsidRPr="00807DAF">
        <w:t>ction.</w:t>
      </w:r>
    </w:p>
    <w:p w14:paraId="16ED0B39" w14:textId="77777777" w:rsidR="006A36F9" w:rsidRPr="00BA6979" w:rsidRDefault="006A36F9" w:rsidP="001B7D50">
      <w:pPr>
        <w:spacing w:after="120" w:line="240" w:lineRule="atLeast"/>
        <w:rPr>
          <w:b/>
        </w:rPr>
      </w:pPr>
      <w:r w:rsidRPr="00BA6979">
        <w:rPr>
          <w:b/>
        </w:rPr>
        <w:t>Co-applicant(s)</w:t>
      </w:r>
      <w:r w:rsidR="000C2C50">
        <w:rPr>
          <w:b/>
        </w:rPr>
        <w:t xml:space="preserve"> </w:t>
      </w:r>
    </w:p>
    <w:p w14:paraId="1ED45922" w14:textId="4F09ED93" w:rsidR="00A92241" w:rsidRPr="00A92241" w:rsidRDefault="00A92241" w:rsidP="00A92241">
      <w:r w:rsidRPr="00A92241">
        <w:t>The lead applicant must act with a</w:t>
      </w:r>
      <w:r w:rsidR="008348F0">
        <w:t>t least 1</w:t>
      </w:r>
      <w:r w:rsidRPr="00A92241">
        <w:t xml:space="preserve"> co-applicant</w:t>
      </w:r>
      <w:r w:rsidR="008348F0">
        <w:t>.</w:t>
      </w:r>
    </w:p>
    <w:p w14:paraId="536C3582" w14:textId="77777777" w:rsidR="00D54450" w:rsidRPr="00C55820" w:rsidRDefault="00F42DD2" w:rsidP="001B7D50">
      <w:pPr>
        <w:spacing w:after="120" w:line="240" w:lineRule="atLeast"/>
      </w:pPr>
      <w:r w:rsidRPr="00593829">
        <w:t xml:space="preserve">Co-applicants participate in designing and implementing the action, and the costs they incur are eligible in the same way as those incurred by the </w:t>
      </w:r>
      <w:r w:rsidR="00BD53D5">
        <w:t>lead a</w:t>
      </w:r>
      <w:r w:rsidRPr="00593829">
        <w:t xml:space="preserve">pplicant. </w:t>
      </w:r>
    </w:p>
    <w:p w14:paraId="794D92FE" w14:textId="77777777" w:rsidR="00D54450" w:rsidRPr="00807DAF" w:rsidRDefault="006A36F9" w:rsidP="001B7D50">
      <w:pPr>
        <w:spacing w:after="120" w:line="240" w:lineRule="atLeast"/>
      </w:pPr>
      <w:r w:rsidRPr="008C30AD">
        <w:t xml:space="preserve">Co-applicants must satisfy the eligibility criteria as applicable </w:t>
      </w:r>
      <w:r w:rsidR="008A6F06" w:rsidRPr="00424E58">
        <w:t>to</w:t>
      </w:r>
      <w:r w:rsidRPr="00424E58">
        <w:t xml:space="preserve"> the </w:t>
      </w:r>
      <w:r w:rsidR="00BD53D5">
        <w:t>lead a</w:t>
      </w:r>
      <w:r w:rsidRPr="00424E58">
        <w:t>pplicant himself.</w:t>
      </w:r>
    </w:p>
    <w:p w14:paraId="300D0127" w14:textId="77777777" w:rsidR="00D80885" w:rsidRDefault="00D80885" w:rsidP="001B7D50">
      <w:pPr>
        <w:spacing w:after="120" w:line="240" w:lineRule="atLeast"/>
      </w:pPr>
      <w:r w:rsidRPr="00593829">
        <w:t xml:space="preserve">Co-applicants must sign the </w:t>
      </w:r>
      <w:r w:rsidR="00176B31">
        <w:t>m</w:t>
      </w:r>
      <w:r w:rsidRPr="00593829">
        <w:t xml:space="preserve">andate in </w:t>
      </w:r>
      <w:r w:rsidR="00964FB0">
        <w:t>Annex A</w:t>
      </w:r>
      <w:r w:rsidR="00F43773">
        <w:t>.</w:t>
      </w:r>
      <w:r w:rsidR="00964FB0">
        <w:t>2</w:t>
      </w:r>
      <w:r w:rsidRPr="00593829">
        <w:t xml:space="preserve"> </w:t>
      </w:r>
      <w:r w:rsidR="00B01659">
        <w:t>S</w:t>
      </w:r>
      <w:r w:rsidRPr="00593829">
        <w:t xml:space="preserve">ection </w:t>
      </w:r>
      <w:r w:rsidR="00964FB0">
        <w:t>5</w:t>
      </w:r>
      <w:r w:rsidRPr="00593829">
        <w:t>.</w:t>
      </w:r>
    </w:p>
    <w:p w14:paraId="7DF1F7C7" w14:textId="77777777" w:rsidR="00336E5C" w:rsidRPr="00BA6979" w:rsidRDefault="00336E5C" w:rsidP="001B7D50">
      <w:pPr>
        <w:spacing w:after="120" w:line="240" w:lineRule="atLeast"/>
      </w:pPr>
      <w:r w:rsidRPr="00BA6979">
        <w:t>If awarded the grant contract, the co-applicant(s) (if any) will become beneficiary(</w:t>
      </w:r>
      <w:proofErr w:type="spellStart"/>
      <w:r w:rsidRPr="00BA6979">
        <w:t>ies</w:t>
      </w:r>
      <w:proofErr w:type="spellEnd"/>
      <w:r w:rsidRPr="00BA6979">
        <w:t xml:space="preserve">) in the action (together with the coordinator) </w:t>
      </w:r>
    </w:p>
    <w:p w14:paraId="46BB797D" w14:textId="77777777" w:rsidR="00914462" w:rsidRPr="005F7635" w:rsidRDefault="00914462" w:rsidP="00F36C74">
      <w:pPr>
        <w:spacing w:after="120" w:line="240" w:lineRule="atLeast"/>
        <w:rPr>
          <w:b/>
          <w:i/>
        </w:rPr>
      </w:pPr>
      <w:r w:rsidRPr="00BA6979">
        <w:rPr>
          <w:b/>
        </w:rPr>
        <w:t>Affiliated entities</w:t>
      </w:r>
    </w:p>
    <w:p w14:paraId="21309557" w14:textId="77777777" w:rsidR="00A07623" w:rsidRPr="00BA6979" w:rsidRDefault="00A07623" w:rsidP="00F36C74">
      <w:pPr>
        <w:spacing w:after="120" w:line="240" w:lineRule="atLeast"/>
      </w:pPr>
      <w:r w:rsidRPr="00BA6979">
        <w:t xml:space="preserve">The </w:t>
      </w:r>
      <w:r w:rsidR="00BD53D5" w:rsidRPr="00BA6979">
        <w:t>lead a</w:t>
      </w:r>
      <w:r w:rsidRPr="00BA6979">
        <w:t>pplicant and its co-applicant(s) may act with affiliated entity(</w:t>
      </w:r>
      <w:proofErr w:type="spellStart"/>
      <w:r w:rsidRPr="00BA6979">
        <w:t>ies</w:t>
      </w:r>
      <w:proofErr w:type="spellEnd"/>
      <w:r w:rsidRPr="00BA6979">
        <w:t>)</w:t>
      </w:r>
      <w:r w:rsidR="00176B31" w:rsidRPr="00BA6979">
        <w:t>.</w:t>
      </w:r>
    </w:p>
    <w:p w14:paraId="5FDDF7C8" w14:textId="77777777" w:rsidR="00914462" w:rsidRPr="001B7D50" w:rsidRDefault="003477DE" w:rsidP="00F36C74">
      <w:pPr>
        <w:spacing w:after="120" w:line="240" w:lineRule="atLeast"/>
        <w:rPr>
          <w:bCs/>
          <w:u w:val="single"/>
        </w:rPr>
      </w:pPr>
      <w:r w:rsidRPr="001B7D50">
        <w:rPr>
          <w:bCs/>
          <w:u w:val="single"/>
        </w:rPr>
        <w:lastRenderedPageBreak/>
        <w:t xml:space="preserve">Only the </w:t>
      </w:r>
      <w:r w:rsidR="00914462" w:rsidRPr="001B7D50">
        <w:rPr>
          <w:bCs/>
          <w:u w:val="single"/>
        </w:rPr>
        <w:t xml:space="preserve">following entities may be considered as affiliated entities to the </w:t>
      </w:r>
      <w:r w:rsidR="00BD53D5" w:rsidRPr="001B7D50">
        <w:rPr>
          <w:bCs/>
          <w:u w:val="single"/>
        </w:rPr>
        <w:t>lead a</w:t>
      </w:r>
      <w:r w:rsidR="00914462" w:rsidRPr="001B7D50">
        <w:rPr>
          <w:bCs/>
          <w:u w:val="single"/>
        </w:rPr>
        <w:t xml:space="preserve">pplicant </w:t>
      </w:r>
      <w:r w:rsidR="00E86372" w:rsidRPr="001B7D50">
        <w:rPr>
          <w:bCs/>
          <w:u w:val="single"/>
        </w:rPr>
        <w:t>and/</w:t>
      </w:r>
      <w:r w:rsidR="00914462" w:rsidRPr="001B7D50">
        <w:rPr>
          <w:bCs/>
          <w:u w:val="single"/>
        </w:rPr>
        <w:t>or to co-applicant(s):</w:t>
      </w:r>
    </w:p>
    <w:p w14:paraId="617790F1" w14:textId="77777777" w:rsidR="005E7A18" w:rsidRPr="00593829" w:rsidRDefault="005E7A18" w:rsidP="001B7D50">
      <w:pPr>
        <w:spacing w:after="120" w:line="240" w:lineRule="atLeast"/>
      </w:pPr>
      <w:r w:rsidRPr="00593829">
        <w:t>Only entities having a structural link with the applicants</w:t>
      </w:r>
      <w:r w:rsidR="000043F8">
        <w:t xml:space="preserve"> (</w:t>
      </w:r>
      <w:proofErr w:type="gramStart"/>
      <w:r w:rsidR="00F72E51">
        <w:t>i.e.</w:t>
      </w:r>
      <w:proofErr w:type="gramEnd"/>
      <w:r w:rsidR="00F72E51">
        <w:t xml:space="preserve"> </w:t>
      </w:r>
      <w:r w:rsidR="000043F8">
        <w:t xml:space="preserve">the </w:t>
      </w:r>
      <w:r w:rsidR="00BD53D5">
        <w:t>lead a</w:t>
      </w:r>
      <w:r w:rsidR="000043F8">
        <w:t>pplicant or a co-applicant)</w:t>
      </w:r>
      <w:r w:rsidRPr="00593829">
        <w:t>, in particular a legal or capital link.</w:t>
      </w:r>
    </w:p>
    <w:p w14:paraId="43004CDC" w14:textId="77777777" w:rsidR="005E7A18" w:rsidRPr="00593829" w:rsidRDefault="005E7A18" w:rsidP="001B7D50">
      <w:pPr>
        <w:spacing w:after="120" w:line="240" w:lineRule="atLeast"/>
      </w:pPr>
      <w:r w:rsidRPr="00593829">
        <w:t>This structural link encompasses mainly two notions:</w:t>
      </w:r>
    </w:p>
    <w:p w14:paraId="7D916F8E" w14:textId="77777777" w:rsidR="005E7A18" w:rsidRPr="00593829" w:rsidRDefault="005E7A18" w:rsidP="001B7D50">
      <w:pPr>
        <w:spacing w:after="120" w:line="240" w:lineRule="atLeast"/>
        <w:ind w:left="720" w:hanging="567"/>
      </w:pPr>
      <w:r w:rsidRPr="00593829">
        <w:t>(</w:t>
      </w:r>
      <w:proofErr w:type="spellStart"/>
      <w:r w:rsidRPr="00593829">
        <w:t>i</w:t>
      </w:r>
      <w:proofErr w:type="spellEnd"/>
      <w:r w:rsidRPr="00593829">
        <w:t xml:space="preserve">) </w:t>
      </w:r>
      <w:r w:rsidRPr="00593829">
        <w:tab/>
        <w:t>Control, as defined in Directive 2013/34/EU on the annual financial statements, consolidated financial statements and related reports of certain types of undertakings:</w:t>
      </w:r>
    </w:p>
    <w:p w14:paraId="4F71A068" w14:textId="77777777" w:rsidR="005E7A18" w:rsidRPr="00593829" w:rsidRDefault="005E7A18" w:rsidP="001B7D50">
      <w:pPr>
        <w:spacing w:after="120" w:line="240" w:lineRule="atLeast"/>
        <w:ind w:left="709"/>
      </w:pPr>
      <w:r w:rsidRPr="00593829">
        <w:t xml:space="preserve">Entities affiliated to </w:t>
      </w:r>
      <w:r w:rsidR="000043F8">
        <w:t xml:space="preserve">an applicant </w:t>
      </w:r>
      <w:r w:rsidRPr="00593829">
        <w:t>may hence be:</w:t>
      </w:r>
    </w:p>
    <w:p w14:paraId="55239F81" w14:textId="77777777" w:rsidR="005E7A18" w:rsidRPr="00593829" w:rsidRDefault="005E7A18" w:rsidP="00EA610C">
      <w:pPr>
        <w:numPr>
          <w:ilvl w:val="0"/>
          <w:numId w:val="21"/>
        </w:numPr>
        <w:spacing w:after="120" w:line="240" w:lineRule="atLeast"/>
        <w:ind w:left="1276" w:hanging="283"/>
      </w:pPr>
      <w:r w:rsidRPr="00593829">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14:paraId="52AAFD04" w14:textId="77777777" w:rsidR="005E7A18" w:rsidRPr="00593829" w:rsidRDefault="005E7A18" w:rsidP="00EA610C">
      <w:pPr>
        <w:numPr>
          <w:ilvl w:val="0"/>
          <w:numId w:val="21"/>
        </w:numPr>
        <w:spacing w:after="120" w:line="240" w:lineRule="atLeast"/>
        <w:ind w:left="1276" w:hanging="283"/>
      </w:pPr>
      <w:r w:rsidRPr="00593829">
        <w:t xml:space="preserve">Entities directly or indirectly controlling the </w:t>
      </w:r>
      <w:r w:rsidR="00156DE6">
        <w:t>applicant</w:t>
      </w:r>
      <w:r w:rsidR="00156DE6" w:rsidRPr="00593829">
        <w:t xml:space="preserve"> </w:t>
      </w:r>
      <w:r w:rsidRPr="00593829">
        <w:t xml:space="preserve">(parent companies). Likewise, they may be entities controlling an entity controlling the </w:t>
      </w:r>
      <w:r w:rsidR="000043F8">
        <w:t>applicant</w:t>
      </w:r>
      <w:r w:rsidRPr="00593829">
        <w:t>;</w:t>
      </w:r>
    </w:p>
    <w:p w14:paraId="04B9648A" w14:textId="77777777" w:rsidR="005E7A18" w:rsidRPr="00593829" w:rsidRDefault="005E7A18" w:rsidP="00EA610C">
      <w:pPr>
        <w:numPr>
          <w:ilvl w:val="0"/>
          <w:numId w:val="21"/>
        </w:numPr>
        <w:spacing w:after="120" w:line="240" w:lineRule="atLeast"/>
        <w:ind w:left="1276" w:hanging="283"/>
      </w:pPr>
      <w:r w:rsidRPr="00593829">
        <w:t xml:space="preserve">Entities under the same direct or indirect control as the </w:t>
      </w:r>
      <w:r w:rsidR="000043F8">
        <w:t xml:space="preserve">applicant </w:t>
      </w:r>
      <w:r w:rsidRPr="00593829">
        <w:t>(sister companies).</w:t>
      </w:r>
    </w:p>
    <w:p w14:paraId="5752ACB1" w14:textId="77777777" w:rsidR="005E7A18" w:rsidRPr="00593829" w:rsidRDefault="005E7A18" w:rsidP="001B7D50">
      <w:pPr>
        <w:spacing w:after="120" w:line="240" w:lineRule="atLeast"/>
        <w:ind w:left="720" w:hanging="578"/>
      </w:pPr>
      <w:r w:rsidRPr="00593829">
        <w:t xml:space="preserve">(ii) </w:t>
      </w:r>
      <w:r w:rsidRPr="00593829">
        <w:tab/>
        <w:t xml:space="preserve">Membership, </w:t>
      </w:r>
      <w:proofErr w:type="gramStart"/>
      <w:r w:rsidRPr="00593829">
        <w:t>i.e.</w:t>
      </w:r>
      <w:proofErr w:type="gramEnd"/>
      <w:r w:rsidRPr="00593829">
        <w:t xml:space="preserv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participates in the same entity (e.g. network, federation, association</w:t>
      </w:r>
      <w:r w:rsidR="00EF5564">
        <w:t>…</w:t>
      </w:r>
      <w:r w:rsidRPr="00593829">
        <w:t>) as the proposed affiliated entities.</w:t>
      </w:r>
    </w:p>
    <w:p w14:paraId="19B7E2BC" w14:textId="77777777" w:rsidR="005E7A18" w:rsidRPr="00593829" w:rsidRDefault="005E7A18" w:rsidP="001B7D50">
      <w:pPr>
        <w:spacing w:after="120" w:line="240" w:lineRule="atLeast"/>
      </w:pPr>
      <w:r w:rsidRPr="00593829">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3E82175F" w14:textId="77777777" w:rsidR="005E7A18" w:rsidRPr="00593829" w:rsidRDefault="005E7A18" w:rsidP="001B7D50">
      <w:pPr>
        <w:spacing w:after="120" w:line="240" w:lineRule="atLeast"/>
      </w:pPr>
      <w:r w:rsidRPr="00593829">
        <w:t xml:space="preserve">By way of exception, an entity may be considered as affiliated to </w:t>
      </w:r>
      <w:r w:rsidR="000043F8">
        <w:t xml:space="preserve">an applicant </w:t>
      </w:r>
      <w:r w:rsidRPr="00593829">
        <w:t xml:space="preserve">even if it has a structural link specifically established for the sole purpose of the implementation of the action in the case of so-called </w:t>
      </w:r>
      <w:r w:rsidR="00D11783">
        <w:t>‘</w:t>
      </w:r>
      <w:r w:rsidRPr="00593829">
        <w:t>sole applicants</w:t>
      </w:r>
      <w:r w:rsidR="00D11783">
        <w:t>’</w:t>
      </w:r>
      <w:r w:rsidRPr="00593829">
        <w:t xml:space="preserve"> or </w:t>
      </w:r>
      <w:r w:rsidR="00D11783">
        <w:t>‘</w:t>
      </w:r>
      <w:r w:rsidRPr="00593829">
        <w:t xml:space="preserve">sole </w:t>
      </w:r>
      <w:proofErr w:type="gramStart"/>
      <w:r w:rsidRPr="00593829">
        <w:t>beneficiaries</w:t>
      </w:r>
      <w:r w:rsidR="00D11783">
        <w:t>’</w:t>
      </w:r>
      <w:proofErr w:type="gramEnd"/>
      <w:r w:rsidRPr="00593829">
        <w:t>.  A sole applicant or a sole beneficiary is a</w:t>
      </w:r>
      <w:r w:rsidR="002A66CB">
        <w:t xml:space="preserve"> legal</w:t>
      </w:r>
      <w:r w:rsidRPr="00593829">
        <w:t xml:space="preserve"> entity formed by several entities (a group of entities) which together comply with the criteria for being awarded the grant</w:t>
      </w:r>
      <w:r w:rsidR="00FF5991" w:rsidRPr="00593829">
        <w:t>. For example, an association is formed by its members.</w:t>
      </w:r>
    </w:p>
    <w:p w14:paraId="1FC75F85" w14:textId="77777777" w:rsidR="005E7A18" w:rsidRPr="001B7D50" w:rsidRDefault="005E7A18" w:rsidP="001B7D50">
      <w:pPr>
        <w:pStyle w:val="Normal-box"/>
        <w:pBdr>
          <w:top w:val="none" w:sz="0" w:space="0" w:color="auto"/>
          <w:left w:val="none" w:sz="0" w:space="0" w:color="auto"/>
          <w:bottom w:val="none" w:sz="0" w:space="0" w:color="auto"/>
          <w:right w:val="none" w:sz="0" w:space="0" w:color="auto"/>
        </w:pBdr>
        <w:spacing w:before="0" w:line="240" w:lineRule="atLeast"/>
        <w:rPr>
          <w:bCs w:val="0"/>
          <w:u w:val="single"/>
          <w:lang w:val="en-IE"/>
        </w:rPr>
      </w:pPr>
      <w:r w:rsidRPr="001B7D50">
        <w:rPr>
          <w:u w:val="single"/>
          <w:lang w:val="en-IE"/>
        </w:rPr>
        <w:t xml:space="preserve">What is not an affiliated entity? </w:t>
      </w:r>
    </w:p>
    <w:p w14:paraId="3EA83A26" w14:textId="77777777" w:rsidR="005E7A18" w:rsidRPr="00593829" w:rsidRDefault="005E7A18" w:rsidP="00F36C74">
      <w:pPr>
        <w:spacing w:after="120" w:line="240" w:lineRule="atLeast"/>
      </w:pPr>
      <w:r w:rsidRPr="00593829">
        <w:t xml:space="preserve">The following are not </w:t>
      </w:r>
      <w:r w:rsidR="006765B7" w:rsidRPr="00593829">
        <w:t xml:space="preserve">considered </w:t>
      </w:r>
      <w:r w:rsidRPr="00593829">
        <w:t>entities affiliated to a</w:t>
      </w:r>
      <w:r w:rsidR="000043F8">
        <w:t>n applicant</w:t>
      </w:r>
      <w:r w:rsidRPr="00593829">
        <w:t>:</w:t>
      </w:r>
    </w:p>
    <w:p w14:paraId="56CB8C8F" w14:textId="77777777" w:rsidR="005E7A18" w:rsidRPr="00593829" w:rsidRDefault="005E7A18" w:rsidP="00EA610C">
      <w:pPr>
        <w:numPr>
          <w:ilvl w:val="0"/>
          <w:numId w:val="22"/>
        </w:numPr>
        <w:spacing w:after="120" w:line="240" w:lineRule="atLeast"/>
      </w:pPr>
      <w:r w:rsidRPr="00593829">
        <w:t xml:space="preserve">Entities that have entered into a (procurement) contract or subcontract with </w:t>
      </w:r>
      <w:r w:rsidR="000043F8">
        <w:t>an applicant</w:t>
      </w:r>
      <w:r w:rsidRPr="00593829">
        <w:t xml:space="preserve">, act as concessionaires or </w:t>
      </w:r>
      <w:proofErr w:type="spellStart"/>
      <w:r w:rsidRPr="00593829">
        <w:t>delegatees</w:t>
      </w:r>
      <w:proofErr w:type="spellEnd"/>
      <w:r w:rsidRPr="00593829">
        <w:t xml:space="preserve"> for public services for a</w:t>
      </w:r>
      <w:r w:rsidR="000043F8">
        <w:t>n applicant</w:t>
      </w:r>
      <w:r w:rsidRPr="00593829">
        <w:t>,</w:t>
      </w:r>
    </w:p>
    <w:p w14:paraId="59DC3219" w14:textId="77777777" w:rsidR="005E7A18" w:rsidRPr="00593829" w:rsidRDefault="005E7A18" w:rsidP="00EA610C">
      <w:pPr>
        <w:numPr>
          <w:ilvl w:val="0"/>
          <w:numId w:val="22"/>
        </w:numPr>
        <w:spacing w:after="120" w:line="240" w:lineRule="atLeast"/>
      </w:pPr>
      <w:r w:rsidRPr="00593829">
        <w:t xml:space="preserve">Entities that receive financial support from the </w:t>
      </w:r>
      <w:r w:rsidR="000043F8">
        <w:t>applicant</w:t>
      </w:r>
      <w:r w:rsidRPr="00593829">
        <w:t>,</w:t>
      </w:r>
    </w:p>
    <w:p w14:paraId="6F7AD55A" w14:textId="77777777" w:rsidR="005E7A18" w:rsidRPr="00593829" w:rsidRDefault="005E7A18" w:rsidP="00EA610C">
      <w:pPr>
        <w:numPr>
          <w:ilvl w:val="0"/>
          <w:numId w:val="22"/>
        </w:numPr>
        <w:spacing w:after="120" w:line="240" w:lineRule="atLeast"/>
      </w:pPr>
      <w:r w:rsidRPr="00593829">
        <w:t xml:space="preserve">Entities that cooperate on a regular basis with </w:t>
      </w:r>
      <w:r w:rsidR="00F72E51">
        <w:t>an applicant</w:t>
      </w:r>
      <w:r w:rsidRPr="00593829">
        <w:t xml:space="preserve"> on the basis of a memorandum of understanding or share some assets,</w:t>
      </w:r>
    </w:p>
    <w:p w14:paraId="5657C997" w14:textId="77777777" w:rsidR="005E7A18" w:rsidRPr="00593829" w:rsidRDefault="005E7A18" w:rsidP="00EA610C">
      <w:pPr>
        <w:numPr>
          <w:ilvl w:val="0"/>
          <w:numId w:val="22"/>
        </w:numPr>
        <w:spacing w:after="120" w:line="240" w:lineRule="atLeast"/>
      </w:pPr>
      <w:r w:rsidRPr="00593829">
        <w:t>Entities that have signed a consortium agreement under the grant contract</w:t>
      </w:r>
      <w:r w:rsidR="002A66CB">
        <w:t xml:space="preserve"> (unless this consortium agreement leads to the creation of a </w:t>
      </w:r>
      <w:r w:rsidR="000D7ACD">
        <w:t>‘</w:t>
      </w:r>
      <w:r w:rsidR="002A66CB">
        <w:t>sole applicant</w:t>
      </w:r>
      <w:r w:rsidR="000D7ACD">
        <w:t>’</w:t>
      </w:r>
      <w:r w:rsidR="002A66CB">
        <w:t xml:space="preserve"> as described above)</w:t>
      </w:r>
      <w:r w:rsidRPr="00593829">
        <w:t>.</w:t>
      </w:r>
    </w:p>
    <w:p w14:paraId="00DD9547" w14:textId="77777777" w:rsidR="005E7A18" w:rsidRPr="00593829" w:rsidRDefault="005E7A18" w:rsidP="001B7D50">
      <w:pPr>
        <w:spacing w:after="120" w:line="240" w:lineRule="atLeast"/>
        <w:rPr>
          <w:u w:val="single"/>
        </w:rPr>
      </w:pPr>
      <w:r w:rsidRPr="00593829">
        <w:rPr>
          <w:u w:val="single"/>
        </w:rPr>
        <w:t xml:space="preserve">How to verify the existence of the required link with </w:t>
      </w:r>
      <w:r w:rsidR="000043F8">
        <w:rPr>
          <w:u w:val="single"/>
        </w:rPr>
        <w:t>an applicant</w:t>
      </w:r>
      <w:r w:rsidRPr="00593829">
        <w:rPr>
          <w:u w:val="single"/>
        </w:rPr>
        <w:t>?</w:t>
      </w:r>
    </w:p>
    <w:p w14:paraId="4FB47C17" w14:textId="77777777" w:rsidR="005E7A18" w:rsidRPr="00593829" w:rsidRDefault="005E7A18" w:rsidP="001B7D50">
      <w:pPr>
        <w:spacing w:after="120" w:line="240" w:lineRule="atLeast"/>
        <w:ind w:left="8"/>
      </w:pPr>
      <w:r w:rsidRPr="00593829">
        <w:t xml:space="preserve">The affiliation resulting from control may </w:t>
      </w:r>
      <w:r w:rsidR="00805526" w:rsidRPr="00593829">
        <w:t xml:space="preserve">in particular </w:t>
      </w:r>
      <w:r w:rsidRPr="00593829">
        <w:t xml:space="preserve">be proved on the basis of the consolidated accounts of the group of entities the </w:t>
      </w:r>
      <w:r w:rsidR="000043F8">
        <w:t xml:space="preserve">applicant </w:t>
      </w:r>
      <w:r w:rsidRPr="00593829">
        <w:t>and its proposed affiliates belong to.</w:t>
      </w:r>
    </w:p>
    <w:p w14:paraId="5A095A24" w14:textId="77777777" w:rsidR="005E7A18" w:rsidRPr="00593829" w:rsidRDefault="005E7A18" w:rsidP="001B7D50">
      <w:pPr>
        <w:spacing w:after="120" w:line="240" w:lineRule="atLeast"/>
      </w:pPr>
      <w:r w:rsidRPr="00593829">
        <w:t xml:space="preserve">The affiliation resulting from membership may </w:t>
      </w:r>
      <w:r w:rsidR="00805526" w:rsidRPr="00593829">
        <w:t xml:space="preserve">in particular </w:t>
      </w:r>
      <w:r w:rsidRPr="00593829">
        <w:t xml:space="preserve">be proved on the basis of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14:paraId="33D40FF0" w14:textId="77777777" w:rsidR="00F012FD" w:rsidRPr="00593829" w:rsidRDefault="007261B1" w:rsidP="00F36C74">
      <w:pPr>
        <w:spacing w:after="120" w:line="240" w:lineRule="atLeast"/>
      </w:pPr>
      <w:r w:rsidRPr="00593829">
        <w:t xml:space="preserve">If the applicants are awarded a </w:t>
      </w:r>
      <w:r w:rsidR="002A66CB">
        <w:t xml:space="preserve">grant </w:t>
      </w:r>
      <w:r w:rsidRPr="00593829">
        <w:t>contract, their affiliated entity(</w:t>
      </w:r>
      <w:proofErr w:type="spellStart"/>
      <w:r w:rsidRPr="00593829">
        <w:t>ies</w:t>
      </w:r>
      <w:proofErr w:type="spellEnd"/>
      <w:r w:rsidRPr="00593829">
        <w:t xml:space="preserve">) will not become </w:t>
      </w:r>
      <w:r w:rsidR="00176B31">
        <w:t>b</w:t>
      </w:r>
      <w:r w:rsidRPr="00593829">
        <w:t>eneficiary(</w:t>
      </w:r>
      <w:proofErr w:type="spellStart"/>
      <w:r w:rsidRPr="00593829">
        <w:t>ies</w:t>
      </w:r>
      <w:proofErr w:type="spellEnd"/>
      <w:r w:rsidRPr="00593829">
        <w:t xml:space="preserve">) of the </w:t>
      </w:r>
      <w:r w:rsidR="00176B31">
        <w:t>a</w:t>
      </w:r>
      <w:r w:rsidRPr="00593829">
        <w:t>ction and signatory(</w:t>
      </w:r>
      <w:proofErr w:type="spellStart"/>
      <w:r w:rsidRPr="00593829">
        <w:t>ies</w:t>
      </w:r>
      <w:proofErr w:type="spellEnd"/>
      <w:r w:rsidRPr="00593829">
        <w:t xml:space="preserve">) of the </w:t>
      </w:r>
      <w:r w:rsidR="00176B31">
        <w:t>g</w:t>
      </w:r>
      <w:r w:rsidR="00A155DA" w:rsidRPr="00593829">
        <w:t xml:space="preserve">rant </w:t>
      </w:r>
      <w:r w:rsidR="00176B31">
        <w:t>c</w:t>
      </w:r>
      <w:r w:rsidRPr="00593829">
        <w:t xml:space="preserve">ontract. However, they will participate in the design </w:t>
      </w:r>
      <w:proofErr w:type="gramStart"/>
      <w:r w:rsidRPr="00593829">
        <w:t>and  in</w:t>
      </w:r>
      <w:proofErr w:type="gramEnd"/>
      <w:r w:rsidRPr="00593829">
        <w:t xml:space="preserve">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upport to third parties</w:t>
      </w:r>
      <w:r w:rsidR="00ED7CB2">
        <w:t xml:space="preserve"> and subcontractors</w:t>
      </w:r>
      <w:r w:rsidRPr="00593829">
        <w:t xml:space="preserve">) may be accepted as eligible costs, provided they comply with all the relevant rules already applicable to the </w:t>
      </w:r>
      <w:r w:rsidR="00176B31">
        <w:t>b</w:t>
      </w:r>
      <w:r w:rsidRPr="00593829">
        <w:t>eneficiary(</w:t>
      </w:r>
      <w:proofErr w:type="spellStart"/>
      <w:r w:rsidRPr="00593829">
        <w:t>ies</w:t>
      </w:r>
      <w:proofErr w:type="spellEnd"/>
      <w:r w:rsidRPr="00593829">
        <w:t xml:space="preserve">) under the </w:t>
      </w:r>
      <w:r w:rsidR="00176B31">
        <w:t>g</w:t>
      </w:r>
      <w:r w:rsidRPr="00593829">
        <w:t xml:space="preserve">rant </w:t>
      </w:r>
      <w:r w:rsidR="00176B31">
        <w:t>c</w:t>
      </w:r>
      <w:r w:rsidRPr="00593829">
        <w:t>ontract.</w:t>
      </w:r>
    </w:p>
    <w:p w14:paraId="69744380" w14:textId="77777777" w:rsidR="00A33882" w:rsidRPr="00807DAF" w:rsidRDefault="00914462" w:rsidP="00F36C74">
      <w:pPr>
        <w:spacing w:after="120" w:line="240" w:lineRule="atLeast"/>
      </w:pPr>
      <w:r w:rsidRPr="00593829">
        <w:t>Affiliated entity(</w:t>
      </w:r>
      <w:proofErr w:type="spellStart"/>
      <w:r w:rsidRPr="00593829">
        <w:t>ies</w:t>
      </w:r>
      <w:proofErr w:type="spellEnd"/>
      <w:r w:rsidRPr="00593829">
        <w:t xml:space="preserve">)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entity(</w:t>
      </w:r>
      <w:proofErr w:type="spellStart"/>
      <w:r w:rsidR="00A33882" w:rsidRPr="00593829">
        <w:t>ies</w:t>
      </w:r>
      <w:proofErr w:type="spellEnd"/>
      <w:r w:rsidR="00A33882" w:rsidRPr="00593829">
        <w:t xml:space="preserve">) statement in </w:t>
      </w:r>
      <w:r w:rsidR="00964FB0">
        <w:t>Annex A</w:t>
      </w:r>
      <w:r w:rsidR="00F43773">
        <w:t>.</w:t>
      </w:r>
      <w:r w:rsidR="00964FB0">
        <w:t>2</w:t>
      </w:r>
      <w:r w:rsidR="00A33882" w:rsidRPr="00593829">
        <w:t xml:space="preserve"> </w:t>
      </w:r>
      <w:r w:rsidR="00B01659">
        <w:t>S</w:t>
      </w:r>
      <w:r w:rsidR="00A33882" w:rsidRPr="00593829">
        <w:t>ection 5.</w:t>
      </w:r>
    </w:p>
    <w:p w14:paraId="2C4E731F" w14:textId="77777777" w:rsidR="00F06309" w:rsidRPr="00807DAF" w:rsidRDefault="00F06309" w:rsidP="00EA610C">
      <w:pPr>
        <w:pStyle w:val="Guidelines3"/>
        <w:numPr>
          <w:ilvl w:val="2"/>
          <w:numId w:val="6"/>
        </w:numPr>
      </w:pPr>
      <w:bookmarkStart w:id="16" w:name="_Toc380145061"/>
      <w:bookmarkStart w:id="17" w:name="_Toc185257673"/>
      <w:bookmarkEnd w:id="16"/>
      <w:r w:rsidRPr="00807DAF">
        <w:lastRenderedPageBreak/>
        <w:t>Associates</w:t>
      </w:r>
      <w:r w:rsidR="00F77C37">
        <w:t xml:space="preserve">, </w:t>
      </w:r>
      <w:r w:rsidR="000D7ACD">
        <w:t>c</w:t>
      </w:r>
      <w:r w:rsidRPr="00807DAF">
        <w:t>ontractors</w:t>
      </w:r>
      <w:r w:rsidR="00F77C37">
        <w:t>, recipients of financial support</w:t>
      </w:r>
      <w:bookmarkEnd w:id="17"/>
    </w:p>
    <w:p w14:paraId="58A33C22" w14:textId="77777777" w:rsidR="00F06309" w:rsidRPr="00807DAF" w:rsidRDefault="00F06309" w:rsidP="00F36C74">
      <w:pPr>
        <w:spacing w:after="120" w:line="240" w:lineRule="atLeast"/>
      </w:pPr>
      <w:r w:rsidRPr="00807DAF">
        <w:t xml:space="preserve">The following entities are not applicants nor affiliated entities and do not have to sign the </w:t>
      </w:r>
      <w:r w:rsidR="000D7ACD">
        <w:t>‘</w:t>
      </w:r>
      <w:r w:rsidR="00176B31">
        <w:t>m</w:t>
      </w:r>
      <w:r w:rsidRPr="00807DAF">
        <w:t>andate</w:t>
      </w:r>
      <w:r w:rsidR="001F6434">
        <w:t xml:space="preserve"> for </w:t>
      </w:r>
      <w:r w:rsidR="00176B31">
        <w:t>c</w:t>
      </w:r>
      <w:r w:rsidR="001F6434">
        <w:t>o-applicant(s)</w:t>
      </w:r>
      <w:r w:rsidR="000D7ACD">
        <w:t>’</w:t>
      </w:r>
      <w:r w:rsidRPr="00807DAF">
        <w:t xml:space="preserve"> or </w:t>
      </w:r>
      <w:r w:rsidR="000D7ACD">
        <w:t>‘</w:t>
      </w:r>
      <w:r w:rsidRPr="00807DAF">
        <w:t>affiliated entities' statement:</w:t>
      </w:r>
    </w:p>
    <w:p w14:paraId="0946D652" w14:textId="77777777" w:rsidR="00F06309" w:rsidRPr="00807DAF" w:rsidRDefault="00F06309" w:rsidP="00EA610C">
      <w:pPr>
        <w:numPr>
          <w:ilvl w:val="0"/>
          <w:numId w:val="11"/>
        </w:numPr>
        <w:spacing w:after="120" w:line="240" w:lineRule="atLeast"/>
      </w:pPr>
      <w:r w:rsidRPr="00807DAF">
        <w:t>Associates</w:t>
      </w:r>
    </w:p>
    <w:p w14:paraId="7D98C5D4" w14:textId="77777777" w:rsidR="00F06309" w:rsidRPr="00807DAF" w:rsidRDefault="00F06309" w:rsidP="00F36C74">
      <w:pPr>
        <w:spacing w:after="120" w:line="240" w:lineRule="atLeast"/>
      </w:pPr>
      <w:r w:rsidRPr="00807DAF">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t>S</w:t>
      </w:r>
      <w:r w:rsidRPr="00807DAF">
        <w:t xml:space="preserve">ection 2.1.1. Associates must be mentioned in </w:t>
      </w:r>
      <w:r w:rsidR="00964FB0">
        <w:t>Annex A</w:t>
      </w:r>
      <w:r w:rsidR="00F43773">
        <w:t>.</w:t>
      </w:r>
      <w:r w:rsidR="00964FB0">
        <w:t>2</w:t>
      </w:r>
      <w:r w:rsidRPr="00807DAF">
        <w:t xml:space="preserve"> </w:t>
      </w:r>
      <w:r w:rsidR="00B01659">
        <w:t>S</w:t>
      </w:r>
      <w:r w:rsidRPr="00807DAF">
        <w:t xml:space="preserve">ection </w:t>
      </w:r>
      <w:r w:rsidR="00964FB0">
        <w:t>4</w:t>
      </w:r>
      <w:r w:rsidRPr="00807DAF">
        <w:t xml:space="preserve"> — ‘Associates participating in the </w:t>
      </w:r>
      <w:r w:rsidR="00176B31">
        <w:t>a</w:t>
      </w:r>
      <w:r w:rsidRPr="00807DAF">
        <w:t xml:space="preserve">ction’. </w:t>
      </w:r>
    </w:p>
    <w:p w14:paraId="68EA3F23" w14:textId="77777777" w:rsidR="00103811" w:rsidRPr="00807DAF" w:rsidRDefault="00103811" w:rsidP="00EA610C">
      <w:pPr>
        <w:numPr>
          <w:ilvl w:val="0"/>
          <w:numId w:val="11"/>
        </w:numPr>
        <w:spacing w:after="120" w:line="240" w:lineRule="atLeast"/>
      </w:pPr>
      <w:r w:rsidRPr="00807DAF">
        <w:t>Contractors</w:t>
      </w:r>
    </w:p>
    <w:p w14:paraId="7D851BEB" w14:textId="77777777" w:rsidR="00F06309" w:rsidRDefault="00F06309" w:rsidP="00F36C74">
      <w:pPr>
        <w:spacing w:after="120" w:line="240" w:lineRule="atLeast"/>
      </w:pPr>
      <w:r w:rsidRPr="00807DAF">
        <w:t>The beneficiaries and their affiliated entities are permitted to award contracts</w:t>
      </w:r>
      <w:r w:rsidR="0045119A">
        <w:t xml:space="preserve"> </w:t>
      </w:r>
      <w:bookmarkStart w:id="18" w:name="_Hlk163805681"/>
      <w:bookmarkStart w:id="19" w:name="_Hlk163812395"/>
      <w:r w:rsidR="0045119A">
        <w:t>(subcontracting or implementation contracts)</w:t>
      </w:r>
      <w:r w:rsidRPr="00807DAF">
        <w:t xml:space="preserve">. </w:t>
      </w:r>
      <w:r w:rsidR="0045119A">
        <w:t xml:space="preserve">Beneficiaries, </w:t>
      </w:r>
      <w:bookmarkEnd w:id="18"/>
      <w:r w:rsidRPr="00807DAF">
        <w:t>affiliated entity(</w:t>
      </w:r>
      <w:proofErr w:type="spellStart"/>
      <w:r w:rsidRPr="00807DAF">
        <w:t>ies</w:t>
      </w:r>
      <w:proofErr w:type="spellEnd"/>
      <w:r w:rsidRPr="00807DAF">
        <w:t>)</w:t>
      </w:r>
      <w:r w:rsidR="0045119A">
        <w:t>, recipients of financial support or associates</w:t>
      </w:r>
      <w:bookmarkEnd w:id="19"/>
      <w:r w:rsidR="0045119A">
        <w:t xml:space="preserve"> </w:t>
      </w:r>
      <w:r w:rsidRPr="00807DAF">
        <w:t>cannot be also contractors in the project. Contractors are subject to the procurement rules set out in Annex IV to the standard grant contract.</w:t>
      </w:r>
    </w:p>
    <w:p w14:paraId="768D1063" w14:textId="77777777" w:rsidR="00F77C37" w:rsidRDefault="00F77C37" w:rsidP="00EA610C">
      <w:pPr>
        <w:numPr>
          <w:ilvl w:val="0"/>
          <w:numId w:val="27"/>
        </w:numPr>
        <w:spacing w:after="120" w:line="240" w:lineRule="atLeast"/>
      </w:pPr>
      <w:bookmarkStart w:id="20" w:name="_Hlk163812409"/>
      <w:bookmarkStart w:id="21" w:name="_Hlk163805726"/>
      <w:r>
        <w:t>Recipients of financial support</w:t>
      </w:r>
    </w:p>
    <w:p w14:paraId="1CBA9649" w14:textId="77777777" w:rsidR="00F77C37" w:rsidRDefault="00F77C37" w:rsidP="001417D6">
      <w:pPr>
        <w:spacing w:after="240" w:line="240" w:lineRule="atLeast"/>
      </w:pPr>
      <w:r>
        <w:t>If allowed by the call for proposals, and under the conditions laid herein</w:t>
      </w:r>
      <w:r w:rsidR="00993186">
        <w:t xml:space="preserve"> and in the grant contract</w:t>
      </w:r>
      <w:r>
        <w:t xml:space="preserve">, the beneficiaries and their affiliated are permitted to provide financial support to other third parties. </w:t>
      </w:r>
      <w:r w:rsidR="0045119A" w:rsidRPr="0045119A">
        <w:t xml:space="preserve">These third parties are neither </w:t>
      </w:r>
      <w:r w:rsidR="0045119A">
        <w:t xml:space="preserve">beneficiaries, </w:t>
      </w:r>
      <w:r w:rsidR="0045119A" w:rsidRPr="0045119A">
        <w:t>affiliated entity(</w:t>
      </w:r>
      <w:proofErr w:type="spellStart"/>
      <w:r w:rsidR="0045119A" w:rsidRPr="0045119A">
        <w:t>ies</w:t>
      </w:r>
      <w:proofErr w:type="spellEnd"/>
      <w:r w:rsidR="0045119A" w:rsidRPr="0045119A">
        <w:t>) nor associates nor contractors.</w:t>
      </w:r>
    </w:p>
    <w:p w14:paraId="3D242CC9" w14:textId="77777777" w:rsidR="0045119A" w:rsidRPr="0045119A" w:rsidRDefault="0045119A" w:rsidP="001B7D50">
      <w:pPr>
        <w:widowControl w:val="0"/>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40" w:lineRule="atLeast"/>
        <w:rPr>
          <w:lang w:eastAsia="en-GB"/>
        </w:rPr>
      </w:pPr>
      <w:r w:rsidRPr="0045119A">
        <w:rPr>
          <w:lang w:val="en-IE" w:eastAsia="en-GB"/>
        </w:rPr>
        <w:t>Each actor should only participate in a single role in an action. This is to avoid any potential conflicts of interest and ensure clear allocation of rights and obligations as well as certainty on cost eligibility.</w:t>
      </w:r>
    </w:p>
    <w:p w14:paraId="2FD6F2B0" w14:textId="77777777" w:rsidR="0007408E" w:rsidRPr="00807DAF" w:rsidRDefault="0007408E" w:rsidP="00EA610C">
      <w:pPr>
        <w:pStyle w:val="Guidelines3"/>
        <w:numPr>
          <w:ilvl w:val="2"/>
          <w:numId w:val="6"/>
        </w:numPr>
      </w:pPr>
      <w:bookmarkStart w:id="22" w:name="_Toc380145063"/>
      <w:bookmarkStart w:id="23" w:name="_Toc380145064"/>
      <w:bookmarkStart w:id="24" w:name="_Toc185257674"/>
      <w:bookmarkEnd w:id="20"/>
      <w:bookmarkEnd w:id="21"/>
      <w:bookmarkEnd w:id="22"/>
      <w:bookmarkEnd w:id="23"/>
      <w:r w:rsidRPr="00807DAF">
        <w:t>Eligible actions: actions for which an application may be made</w:t>
      </w:r>
      <w:bookmarkEnd w:id="24"/>
    </w:p>
    <w:p w14:paraId="64291158" w14:textId="77777777" w:rsidR="009B41E2" w:rsidRPr="00807DAF" w:rsidRDefault="002265E1" w:rsidP="00F36C74">
      <w:pPr>
        <w:spacing w:after="120" w:line="240" w:lineRule="atLeast"/>
      </w:pPr>
      <w:r w:rsidRPr="00807DAF">
        <w:t xml:space="preserve">Definition: </w:t>
      </w:r>
    </w:p>
    <w:p w14:paraId="168B3AC8" w14:textId="77777777" w:rsidR="002265E1" w:rsidRPr="00807DAF" w:rsidRDefault="002265E1" w:rsidP="00F36C74">
      <w:pPr>
        <w:spacing w:after="120" w:line="240" w:lineRule="atLeast"/>
      </w:pPr>
      <w:r w:rsidRPr="00807DAF">
        <w:t>A</w:t>
      </w:r>
      <w:r w:rsidR="00B526B1" w:rsidRPr="00807DAF">
        <w:t>n</w:t>
      </w:r>
      <w:r w:rsidRPr="00807DAF">
        <w:t xml:space="preserve"> action is composed </w:t>
      </w:r>
      <w:r w:rsidR="00E16D0E" w:rsidRPr="00807DAF">
        <w:t>of a</w:t>
      </w:r>
      <w:r w:rsidRPr="00807DAF">
        <w:t xml:space="preserve"> set of activities.</w:t>
      </w:r>
    </w:p>
    <w:p w14:paraId="765ACE04" w14:textId="77777777" w:rsidR="0007408E" w:rsidRPr="001B7D50" w:rsidRDefault="0007408E" w:rsidP="00F36C74">
      <w:pPr>
        <w:spacing w:after="120" w:line="240" w:lineRule="atLeast"/>
        <w:rPr>
          <w:b/>
          <w:bCs/>
        </w:rPr>
      </w:pPr>
      <w:r w:rsidRPr="001B7D50">
        <w:rPr>
          <w:b/>
          <w:bCs/>
        </w:rPr>
        <w:t>Duration</w:t>
      </w:r>
    </w:p>
    <w:p w14:paraId="149E549C" w14:textId="77777777" w:rsidR="0007408E" w:rsidRPr="00807DAF" w:rsidRDefault="0007408E" w:rsidP="00F36C74">
      <w:pPr>
        <w:spacing w:after="120" w:line="240" w:lineRule="atLeast"/>
      </w:pPr>
      <w:r w:rsidRPr="00807DAF">
        <w:t xml:space="preserve">The </w:t>
      </w:r>
      <w:r w:rsidR="002265E1" w:rsidRPr="00807DAF">
        <w:t xml:space="preserve">initial </w:t>
      </w:r>
      <w:r w:rsidR="00C17825" w:rsidRPr="00807DAF">
        <w:t xml:space="preserve">planned </w:t>
      </w:r>
      <w:r w:rsidRPr="00807DAF">
        <w:t xml:space="preserve">duration of an action may not </w:t>
      </w:r>
      <w:r w:rsidR="00A92241">
        <w:t xml:space="preserve">be </w:t>
      </w:r>
      <w:r w:rsidR="00A92241" w:rsidRPr="00A92241">
        <w:t>lower than 28 months nor exceed 42 months</w:t>
      </w:r>
      <w:r w:rsidRPr="00817D73">
        <w:t>.</w:t>
      </w:r>
    </w:p>
    <w:p w14:paraId="1920A08B" w14:textId="77777777" w:rsidR="0007408E" w:rsidRPr="001B7D50" w:rsidRDefault="0007408E" w:rsidP="00F36C74">
      <w:pPr>
        <w:spacing w:after="120" w:line="240" w:lineRule="atLeast"/>
        <w:rPr>
          <w:b/>
          <w:bCs/>
        </w:rPr>
      </w:pPr>
      <w:r w:rsidRPr="001B7D50">
        <w:rPr>
          <w:b/>
          <w:bCs/>
        </w:rPr>
        <w:t>Sectors or themes</w:t>
      </w:r>
    </w:p>
    <w:p w14:paraId="13BBACFF" w14:textId="77777777" w:rsidR="00061871" w:rsidRPr="00807DAF" w:rsidRDefault="0006462B" w:rsidP="00F36C74">
      <w:pPr>
        <w:spacing w:after="120" w:line="240" w:lineRule="atLeast"/>
      </w:pPr>
      <w:r>
        <w:t>Please see section 1.2.</w:t>
      </w:r>
    </w:p>
    <w:p w14:paraId="21E86477" w14:textId="77777777" w:rsidR="0007408E" w:rsidRPr="001B7D50" w:rsidRDefault="0007408E" w:rsidP="00F36C74">
      <w:pPr>
        <w:spacing w:after="120" w:line="240" w:lineRule="atLeast"/>
        <w:rPr>
          <w:b/>
          <w:bCs/>
        </w:rPr>
      </w:pPr>
      <w:r w:rsidRPr="001B7D50">
        <w:rPr>
          <w:b/>
          <w:bCs/>
        </w:rPr>
        <w:t>Location</w:t>
      </w:r>
    </w:p>
    <w:p w14:paraId="6B62FB0D" w14:textId="77777777" w:rsidR="0006462B" w:rsidRDefault="0006462B" w:rsidP="00F36C74">
      <w:pPr>
        <w:spacing w:after="120" w:line="240" w:lineRule="atLeast"/>
      </w:pPr>
      <w:r w:rsidRPr="0006462B">
        <w:t xml:space="preserve">Actions must take place in the Republic of Moldova, including in the Transnistrian region. </w:t>
      </w:r>
    </w:p>
    <w:p w14:paraId="4F46090C" w14:textId="77777777" w:rsidR="0007408E" w:rsidRPr="001B7D50" w:rsidRDefault="0007408E" w:rsidP="00F36C74">
      <w:pPr>
        <w:spacing w:after="120" w:line="240" w:lineRule="atLeast"/>
        <w:rPr>
          <w:b/>
          <w:bCs/>
          <w:szCs w:val="22"/>
        </w:rPr>
      </w:pPr>
      <w:r w:rsidRPr="001B7D50">
        <w:rPr>
          <w:b/>
          <w:bCs/>
          <w:szCs w:val="22"/>
        </w:rPr>
        <w:t>Type</w:t>
      </w:r>
      <w:r w:rsidR="0001485A" w:rsidRPr="001B7D50">
        <w:rPr>
          <w:b/>
          <w:bCs/>
          <w:szCs w:val="22"/>
        </w:rPr>
        <w:t>s</w:t>
      </w:r>
      <w:r w:rsidRPr="001B7D50">
        <w:rPr>
          <w:b/>
          <w:bCs/>
          <w:szCs w:val="22"/>
        </w:rPr>
        <w:t xml:space="preserve"> of action</w:t>
      </w:r>
    </w:p>
    <w:p w14:paraId="4CD5FDC8" w14:textId="77777777" w:rsidR="00C25785" w:rsidRDefault="00C25785" w:rsidP="00C25785">
      <w:pPr>
        <w:rPr>
          <w:szCs w:val="22"/>
        </w:rPr>
      </w:pPr>
      <w:r>
        <w:rPr>
          <w:szCs w:val="22"/>
        </w:rPr>
        <w:t xml:space="preserve">Types of action, which may be financed under this call, </w:t>
      </w:r>
      <w:r w:rsidRPr="003E21BD">
        <w:rPr>
          <w:szCs w:val="22"/>
        </w:rPr>
        <w:t>must constitute a project - a self-contained operation consisting of coherent sets of activities with clearly defined objectives in line with the objectives and priorities listed under section 1.2.</w:t>
      </w:r>
      <w:r w:rsidRPr="00C25785">
        <w:rPr>
          <w:szCs w:val="22"/>
        </w:rPr>
        <w:t xml:space="preserve"> </w:t>
      </w:r>
    </w:p>
    <w:p w14:paraId="4875B520" w14:textId="5D4597AD" w:rsidR="00C25785" w:rsidRPr="00653411" w:rsidRDefault="00C25785" w:rsidP="00C25785">
      <w:pPr>
        <w:rPr>
          <w:szCs w:val="22"/>
        </w:rPr>
      </w:pPr>
      <w:r>
        <w:rPr>
          <w:szCs w:val="22"/>
        </w:rPr>
        <w:t>For</w:t>
      </w:r>
      <w:r w:rsidRPr="003E21BD">
        <w:rPr>
          <w:szCs w:val="22"/>
        </w:rPr>
        <w:t xml:space="preserve"> the sole purpose of providing a tentative indication and with no intention to be in any way exhaustive or </w:t>
      </w:r>
      <w:r w:rsidRPr="00653411">
        <w:rPr>
          <w:szCs w:val="22"/>
        </w:rPr>
        <w:t>prescriptive, a</w:t>
      </w:r>
      <w:r w:rsidR="008348F0">
        <w:rPr>
          <w:szCs w:val="22"/>
        </w:rPr>
        <w:t>ctions must</w:t>
      </w:r>
      <w:r w:rsidRPr="00653411">
        <w:rPr>
          <w:szCs w:val="22"/>
        </w:rPr>
        <w:t xml:space="preserve"> include, but are not limited to: </w:t>
      </w:r>
    </w:p>
    <w:p w14:paraId="66B273CD" w14:textId="77777777" w:rsidR="00404182" w:rsidRPr="00653411" w:rsidRDefault="00404182" w:rsidP="00EA610C">
      <w:pPr>
        <w:numPr>
          <w:ilvl w:val="0"/>
          <w:numId w:val="30"/>
        </w:numPr>
        <w:rPr>
          <w:szCs w:val="22"/>
        </w:rPr>
      </w:pPr>
      <w:r w:rsidRPr="00653411">
        <w:rPr>
          <w:szCs w:val="22"/>
        </w:rPr>
        <w:t xml:space="preserve">Provide financial support for eligible third parties in the Republic of Moldova; </w:t>
      </w:r>
    </w:p>
    <w:p w14:paraId="67115DE1" w14:textId="77777777" w:rsidR="00C25785" w:rsidRDefault="00C25785" w:rsidP="00EA610C">
      <w:pPr>
        <w:numPr>
          <w:ilvl w:val="0"/>
          <w:numId w:val="30"/>
        </w:numPr>
        <w:rPr>
          <w:szCs w:val="22"/>
        </w:rPr>
      </w:pPr>
      <w:r>
        <w:rPr>
          <w:szCs w:val="22"/>
        </w:rPr>
        <w:t>P</w:t>
      </w:r>
      <w:r w:rsidRPr="00984C57">
        <w:rPr>
          <w:szCs w:val="22"/>
        </w:rPr>
        <w:t>rovide step-by-step support in the implementation of project funding received</w:t>
      </w:r>
      <w:r>
        <w:rPr>
          <w:szCs w:val="22"/>
        </w:rPr>
        <w:t xml:space="preserve">, </w:t>
      </w:r>
      <w:r w:rsidRPr="00984C57">
        <w:rPr>
          <w:szCs w:val="22"/>
        </w:rPr>
        <w:t xml:space="preserve">coupled with oversight of the organisations' own development strategies </w:t>
      </w:r>
      <w:r>
        <w:rPr>
          <w:szCs w:val="22"/>
        </w:rPr>
        <w:t>– including administrative development and</w:t>
      </w:r>
      <w:r w:rsidRPr="00984C57">
        <w:rPr>
          <w:szCs w:val="22"/>
        </w:rPr>
        <w:t xml:space="preserve"> ambitions</w:t>
      </w:r>
      <w:r>
        <w:rPr>
          <w:szCs w:val="22"/>
        </w:rPr>
        <w:t xml:space="preserve"> within the community and the sector. This support should also ensure appropriate EU visibility and financial management capacity of the third party;</w:t>
      </w:r>
    </w:p>
    <w:p w14:paraId="204B7BD9" w14:textId="77777777" w:rsidR="00C25785" w:rsidRDefault="00C25785" w:rsidP="00EA610C">
      <w:pPr>
        <w:numPr>
          <w:ilvl w:val="0"/>
          <w:numId w:val="30"/>
        </w:numPr>
        <w:rPr>
          <w:szCs w:val="22"/>
        </w:rPr>
      </w:pPr>
      <w:r>
        <w:rPr>
          <w:szCs w:val="22"/>
        </w:rPr>
        <w:t>Public information, awareness raising,</w:t>
      </w:r>
      <w:r w:rsidRPr="001D540E">
        <w:rPr>
          <w:szCs w:val="22"/>
        </w:rPr>
        <w:t xml:space="preserve"> learning, sharing, representation and advocacy activities through conferences, seminars and workshops, meetings, media actions</w:t>
      </w:r>
      <w:r>
        <w:rPr>
          <w:szCs w:val="22"/>
        </w:rPr>
        <w:t xml:space="preserve"> as appropriate in coordination with the EU Delegation;</w:t>
      </w:r>
    </w:p>
    <w:p w14:paraId="0ADAF805" w14:textId="77777777" w:rsidR="00C25785" w:rsidRPr="00A87958" w:rsidRDefault="00C25785" w:rsidP="00EA610C">
      <w:pPr>
        <w:numPr>
          <w:ilvl w:val="0"/>
          <w:numId w:val="30"/>
        </w:numPr>
        <w:rPr>
          <w:szCs w:val="22"/>
        </w:rPr>
      </w:pPr>
      <w:r>
        <w:rPr>
          <w:szCs w:val="22"/>
        </w:rPr>
        <w:t>Promotion of</w:t>
      </w:r>
      <w:r w:rsidRPr="003E21BD">
        <w:rPr>
          <w:szCs w:val="22"/>
        </w:rPr>
        <w:t xml:space="preserve"> best practices, contribution to policy work, policy advocacy/policy dialogue</w:t>
      </w:r>
      <w:r>
        <w:rPr>
          <w:szCs w:val="22"/>
        </w:rPr>
        <w:t>.</w:t>
      </w:r>
      <w:r w:rsidRPr="003E21BD">
        <w:rPr>
          <w:szCs w:val="22"/>
        </w:rPr>
        <w:t xml:space="preserve"> </w:t>
      </w:r>
    </w:p>
    <w:p w14:paraId="21BCDB2E" w14:textId="77777777" w:rsidR="004053F6" w:rsidRDefault="00C25785" w:rsidP="00C25785">
      <w:pPr>
        <w:rPr>
          <w:szCs w:val="22"/>
        </w:rPr>
      </w:pPr>
      <w:r w:rsidRPr="003E21BD">
        <w:rPr>
          <w:szCs w:val="22"/>
        </w:rPr>
        <w:lastRenderedPageBreak/>
        <w:t>Priority will be given to</w:t>
      </w:r>
      <w:r w:rsidR="004053F6">
        <w:rPr>
          <w:szCs w:val="22"/>
        </w:rPr>
        <w:t>:</w:t>
      </w:r>
    </w:p>
    <w:p w14:paraId="2F424A5D" w14:textId="09EFD1C9" w:rsidR="004053F6" w:rsidRDefault="00C25785" w:rsidP="00EA610C">
      <w:pPr>
        <w:numPr>
          <w:ilvl w:val="0"/>
          <w:numId w:val="36"/>
        </w:numPr>
        <w:rPr>
          <w:szCs w:val="22"/>
        </w:rPr>
      </w:pPr>
      <w:r w:rsidRPr="003E21BD">
        <w:rPr>
          <w:szCs w:val="22"/>
        </w:rPr>
        <w:t xml:space="preserve">actions </w:t>
      </w:r>
      <w:r>
        <w:rPr>
          <w:szCs w:val="22"/>
        </w:rPr>
        <w:t>implemented by or with community-based organisations</w:t>
      </w:r>
      <w:r w:rsidR="00893D20">
        <w:rPr>
          <w:szCs w:val="22"/>
        </w:rPr>
        <w:t>;</w:t>
      </w:r>
    </w:p>
    <w:p w14:paraId="0DC1C7F3" w14:textId="270F1C6E" w:rsidR="00505E95" w:rsidRDefault="00893D20" w:rsidP="00EA610C">
      <w:pPr>
        <w:numPr>
          <w:ilvl w:val="0"/>
          <w:numId w:val="36"/>
        </w:numPr>
        <w:rPr>
          <w:szCs w:val="22"/>
        </w:rPr>
      </w:pPr>
      <w:r>
        <w:rPr>
          <w:szCs w:val="22"/>
        </w:rPr>
        <w:t xml:space="preserve">actions oriented to </w:t>
      </w:r>
      <w:r w:rsidR="00C25785" w:rsidRPr="003E21BD">
        <w:rPr>
          <w:szCs w:val="22"/>
        </w:rPr>
        <w:t>build</w:t>
      </w:r>
      <w:r w:rsidR="00505E95">
        <w:rPr>
          <w:szCs w:val="22"/>
        </w:rPr>
        <w:t xml:space="preserve"> up the </w:t>
      </w:r>
      <w:r w:rsidR="00C25785" w:rsidRPr="003E21BD">
        <w:rPr>
          <w:szCs w:val="22"/>
        </w:rPr>
        <w:t xml:space="preserve">capacity of </w:t>
      </w:r>
      <w:proofErr w:type="gramStart"/>
      <w:r w:rsidR="00C25785" w:rsidRPr="003E21BD">
        <w:rPr>
          <w:szCs w:val="22"/>
        </w:rPr>
        <w:t>community based</w:t>
      </w:r>
      <w:proofErr w:type="gramEnd"/>
      <w:r w:rsidR="00C25785" w:rsidRPr="003E21BD">
        <w:rPr>
          <w:szCs w:val="22"/>
        </w:rPr>
        <w:t xml:space="preserve"> organi</w:t>
      </w:r>
      <w:r w:rsidR="00C25785">
        <w:rPr>
          <w:szCs w:val="22"/>
        </w:rPr>
        <w:t>s</w:t>
      </w:r>
      <w:r w:rsidR="00C25785" w:rsidRPr="003E21BD">
        <w:rPr>
          <w:szCs w:val="22"/>
        </w:rPr>
        <w:t>ations</w:t>
      </w:r>
      <w:r w:rsidR="00C25785">
        <w:rPr>
          <w:szCs w:val="22"/>
        </w:rPr>
        <w:t xml:space="preserve"> and serving the needs thereof in line with objectives of the action</w:t>
      </w:r>
      <w:r w:rsidR="00EF7C09">
        <w:rPr>
          <w:szCs w:val="22"/>
        </w:rPr>
        <w:t>;</w:t>
      </w:r>
    </w:p>
    <w:p w14:paraId="0D699689" w14:textId="15D2FC0F" w:rsidR="00C25785" w:rsidRDefault="00505E95" w:rsidP="00EA610C">
      <w:pPr>
        <w:numPr>
          <w:ilvl w:val="0"/>
          <w:numId w:val="36"/>
        </w:numPr>
        <w:rPr>
          <w:szCs w:val="22"/>
        </w:rPr>
      </w:pPr>
      <w:r>
        <w:rPr>
          <w:szCs w:val="22"/>
        </w:rPr>
        <w:t xml:space="preserve">actions </w:t>
      </w:r>
      <w:r w:rsidR="00C25785" w:rsidRPr="003E21BD">
        <w:rPr>
          <w:szCs w:val="22"/>
        </w:rPr>
        <w:t>involving financial support to third parties</w:t>
      </w:r>
      <w:r w:rsidR="00C25785">
        <w:rPr>
          <w:szCs w:val="22"/>
        </w:rPr>
        <w:t>.</w:t>
      </w:r>
    </w:p>
    <w:p w14:paraId="26C0BA85" w14:textId="77777777" w:rsidR="00E1397C" w:rsidRPr="00807DAF" w:rsidRDefault="00E1397C" w:rsidP="00F36C74">
      <w:pPr>
        <w:spacing w:after="120" w:line="240" w:lineRule="atLeast"/>
      </w:pPr>
      <w:r w:rsidRPr="00807DAF">
        <w:t>The following types of action are ineligible:</w:t>
      </w:r>
    </w:p>
    <w:p w14:paraId="4AC0555C" w14:textId="77777777" w:rsidR="00E1397C" w:rsidRPr="00807DAF" w:rsidRDefault="00E1397C" w:rsidP="00EA610C">
      <w:pPr>
        <w:numPr>
          <w:ilvl w:val="0"/>
          <w:numId w:val="11"/>
        </w:numPr>
        <w:spacing w:after="120" w:line="240" w:lineRule="atLeast"/>
      </w:pPr>
      <w:r w:rsidRPr="00807DAF">
        <w:t>actions concerned only or mainly with individual sponsorships for participation in workshops, seminars, conferences and congresses;</w:t>
      </w:r>
    </w:p>
    <w:p w14:paraId="4F978A7B" w14:textId="77777777" w:rsidR="00E1397C" w:rsidRDefault="00E1397C" w:rsidP="00EA610C">
      <w:pPr>
        <w:numPr>
          <w:ilvl w:val="0"/>
          <w:numId w:val="11"/>
        </w:numPr>
        <w:spacing w:after="120" w:line="240" w:lineRule="atLeast"/>
      </w:pPr>
      <w:r w:rsidRPr="00807DAF">
        <w:t>actions concerned only or mainly with individual scholarships for studies or training courses;</w:t>
      </w:r>
    </w:p>
    <w:p w14:paraId="03A86548" w14:textId="77777777" w:rsidR="00A3691F" w:rsidRPr="00807DAF" w:rsidRDefault="00A3691F" w:rsidP="00EA610C">
      <w:pPr>
        <w:numPr>
          <w:ilvl w:val="0"/>
          <w:numId w:val="11"/>
        </w:numPr>
        <w:spacing w:after="120" w:line="240" w:lineRule="atLeast"/>
      </w:pPr>
      <w:r>
        <w:t xml:space="preserve">actions and measures that may result in violation of human rights in partner countries </w:t>
      </w:r>
      <w:r>
        <w:rPr>
          <w:lang w:val="en-IE"/>
        </w:rPr>
        <w:t>or causing significant adverse effects on the environment or the climate</w:t>
      </w:r>
      <w:r w:rsidR="00692561">
        <w:rPr>
          <w:rStyle w:val="Funotenzeichen"/>
          <w:lang w:val="en-IE"/>
        </w:rPr>
        <w:footnoteReference w:id="13"/>
      </w:r>
      <w:r>
        <w:rPr>
          <w:lang w:val="en-IE"/>
        </w:rPr>
        <w:t>;</w:t>
      </w:r>
    </w:p>
    <w:p w14:paraId="6E423167" w14:textId="77777777" w:rsidR="004D7B57" w:rsidRPr="001B7D50" w:rsidRDefault="004D7B57" w:rsidP="00F36C74">
      <w:pPr>
        <w:spacing w:after="120" w:line="240" w:lineRule="atLeast"/>
        <w:rPr>
          <w:b/>
          <w:bCs/>
          <w:szCs w:val="22"/>
        </w:rPr>
      </w:pPr>
      <w:r w:rsidRPr="001B7D50">
        <w:rPr>
          <w:b/>
          <w:bCs/>
          <w:szCs w:val="22"/>
        </w:rPr>
        <w:t>Types of activity</w:t>
      </w:r>
    </w:p>
    <w:p w14:paraId="7C6E29BC" w14:textId="77777777" w:rsidR="00E95995" w:rsidRDefault="00404182" w:rsidP="00F36C74">
      <w:pPr>
        <w:spacing w:after="120" w:line="240" w:lineRule="atLeast"/>
        <w:rPr>
          <w:szCs w:val="22"/>
        </w:rPr>
      </w:pPr>
      <w:r w:rsidRPr="005700FD">
        <w:rPr>
          <w:szCs w:val="22"/>
        </w:rPr>
        <w:t>The following types of activities may be financed under this call. However, the lists are not exhaustive.</w:t>
      </w:r>
    </w:p>
    <w:p w14:paraId="2944121A" w14:textId="77777777" w:rsidR="00404182" w:rsidRDefault="00404182" w:rsidP="00404182">
      <w:pPr>
        <w:pStyle w:val="Default"/>
        <w:jc w:val="both"/>
        <w:rPr>
          <w:b/>
          <w:color w:val="auto"/>
          <w:sz w:val="22"/>
          <w:szCs w:val="22"/>
        </w:rPr>
      </w:pPr>
      <w:r w:rsidRPr="00404182">
        <w:rPr>
          <w:b/>
          <w:color w:val="auto"/>
          <w:sz w:val="22"/>
          <w:szCs w:val="22"/>
          <w:u w:val="single"/>
        </w:rPr>
        <w:t>Lot 1:</w:t>
      </w:r>
      <w:r w:rsidRPr="00404182">
        <w:rPr>
          <w:b/>
          <w:color w:val="auto"/>
          <w:sz w:val="22"/>
          <w:szCs w:val="22"/>
        </w:rPr>
        <w:t xml:space="preserve"> Strengthening the capacities of civil society organisations to participate and contribute to the EU accession process of the Republic of Moldova through structured engagement with public authorities and monitoring the implementation of reforms and EU and national devel</w:t>
      </w:r>
      <w:r>
        <w:rPr>
          <w:b/>
          <w:color w:val="auto"/>
          <w:sz w:val="22"/>
          <w:szCs w:val="22"/>
        </w:rPr>
        <w:t>opment programmes:</w:t>
      </w:r>
      <w:r w:rsidRPr="00404182">
        <w:rPr>
          <w:b/>
          <w:color w:val="auto"/>
          <w:sz w:val="22"/>
          <w:szCs w:val="22"/>
        </w:rPr>
        <w:t xml:space="preserve"> </w:t>
      </w:r>
    </w:p>
    <w:p w14:paraId="33772C37" w14:textId="77777777" w:rsidR="00404182" w:rsidRDefault="00404182" w:rsidP="00404182">
      <w:pPr>
        <w:pStyle w:val="Default"/>
        <w:jc w:val="both"/>
        <w:rPr>
          <w:b/>
          <w:color w:val="auto"/>
          <w:sz w:val="22"/>
          <w:szCs w:val="22"/>
        </w:rPr>
      </w:pPr>
    </w:p>
    <w:p w14:paraId="7DE7F95E" w14:textId="77777777" w:rsidR="00404182" w:rsidRPr="0096702C" w:rsidRDefault="00404182" w:rsidP="00EA610C">
      <w:pPr>
        <w:pStyle w:val="Default"/>
        <w:numPr>
          <w:ilvl w:val="0"/>
          <w:numId w:val="31"/>
        </w:numPr>
        <w:ind w:left="714" w:hanging="357"/>
        <w:jc w:val="both"/>
        <w:rPr>
          <w:iCs/>
          <w:color w:val="auto"/>
          <w:sz w:val="22"/>
          <w:szCs w:val="22"/>
        </w:rPr>
      </w:pPr>
      <w:r w:rsidRPr="0096702C">
        <w:rPr>
          <w:iCs/>
          <w:color w:val="auto"/>
          <w:sz w:val="22"/>
          <w:szCs w:val="22"/>
        </w:rPr>
        <w:t>Fostering enhanced levels of coordination and cooperation between the national and local authorities and civil society to support the EU accession process of the country;</w:t>
      </w:r>
    </w:p>
    <w:p w14:paraId="47567E9D" w14:textId="77777777" w:rsidR="00404182" w:rsidRPr="0096702C" w:rsidRDefault="00404182" w:rsidP="00EA610C">
      <w:pPr>
        <w:pStyle w:val="Default"/>
        <w:numPr>
          <w:ilvl w:val="0"/>
          <w:numId w:val="31"/>
        </w:numPr>
        <w:ind w:left="714" w:hanging="357"/>
        <w:jc w:val="both"/>
        <w:rPr>
          <w:iCs/>
          <w:color w:val="auto"/>
          <w:sz w:val="22"/>
          <w:szCs w:val="22"/>
        </w:rPr>
      </w:pPr>
      <w:r w:rsidRPr="0096702C">
        <w:rPr>
          <w:iCs/>
          <w:color w:val="auto"/>
          <w:sz w:val="22"/>
          <w:szCs w:val="22"/>
        </w:rPr>
        <w:t xml:space="preserve">Establishing close cooperation with national authorities, including with </w:t>
      </w:r>
      <w:r>
        <w:rPr>
          <w:iCs/>
          <w:color w:val="auto"/>
          <w:sz w:val="22"/>
          <w:szCs w:val="22"/>
        </w:rPr>
        <w:t xml:space="preserve">the </w:t>
      </w:r>
      <w:r w:rsidRPr="0096702C">
        <w:rPr>
          <w:iCs/>
          <w:color w:val="auto"/>
          <w:sz w:val="22"/>
          <w:szCs w:val="22"/>
        </w:rPr>
        <w:t>Bureau for European Integration, in view of developing strategic policy frameworks and relevant institutional mechanisms for open and structured dialogue with civil society across various policy areas</w:t>
      </w:r>
      <w:r>
        <w:rPr>
          <w:iCs/>
          <w:color w:val="auto"/>
          <w:sz w:val="22"/>
          <w:szCs w:val="22"/>
        </w:rPr>
        <w:t xml:space="preserve"> in the context of</w:t>
      </w:r>
      <w:r w:rsidRPr="0096702C">
        <w:rPr>
          <w:iCs/>
          <w:color w:val="auto"/>
          <w:sz w:val="22"/>
          <w:szCs w:val="22"/>
        </w:rPr>
        <w:t xml:space="preserve"> the EU accession process; </w:t>
      </w:r>
    </w:p>
    <w:p w14:paraId="5C44236D" w14:textId="77777777" w:rsidR="00404182" w:rsidRPr="0096702C" w:rsidRDefault="00404182" w:rsidP="00EA610C">
      <w:pPr>
        <w:pStyle w:val="Default"/>
        <w:numPr>
          <w:ilvl w:val="0"/>
          <w:numId w:val="31"/>
        </w:numPr>
        <w:ind w:left="714" w:hanging="357"/>
        <w:jc w:val="both"/>
        <w:rPr>
          <w:iCs/>
          <w:color w:val="auto"/>
          <w:sz w:val="22"/>
          <w:szCs w:val="22"/>
        </w:rPr>
      </w:pPr>
      <w:r w:rsidRPr="0096702C">
        <w:rPr>
          <w:iCs/>
          <w:color w:val="auto"/>
          <w:sz w:val="22"/>
          <w:szCs w:val="22"/>
        </w:rPr>
        <w:t>Strengthening democratic and inclusive participation of civil society in the EU accession process of the Republic of Moldova by empowering it to actively take part in decision making, to monitor accession negotiations and implementation of EU and national development plans and programmes (</w:t>
      </w:r>
      <w:proofErr w:type="gramStart"/>
      <w:r w:rsidRPr="0096702C">
        <w:rPr>
          <w:iCs/>
          <w:color w:val="auto"/>
          <w:sz w:val="22"/>
          <w:szCs w:val="22"/>
        </w:rPr>
        <w:t>e.g.</w:t>
      </w:r>
      <w:proofErr w:type="gramEnd"/>
      <w:r w:rsidRPr="0096702C">
        <w:rPr>
          <w:iCs/>
          <w:color w:val="auto"/>
          <w:sz w:val="22"/>
          <w:szCs w:val="22"/>
        </w:rPr>
        <w:t xml:space="preserve"> Growth Plan);</w:t>
      </w:r>
    </w:p>
    <w:p w14:paraId="3D0FF6FF" w14:textId="77777777" w:rsidR="00404182" w:rsidRPr="0096702C" w:rsidRDefault="00404182" w:rsidP="00EA610C">
      <w:pPr>
        <w:pStyle w:val="Default"/>
        <w:numPr>
          <w:ilvl w:val="0"/>
          <w:numId w:val="31"/>
        </w:numPr>
        <w:ind w:left="714" w:hanging="357"/>
        <w:jc w:val="both"/>
        <w:rPr>
          <w:iCs/>
          <w:color w:val="auto"/>
          <w:sz w:val="22"/>
          <w:szCs w:val="22"/>
          <w:lang w:eastAsia="en-US"/>
        </w:rPr>
      </w:pPr>
      <w:r w:rsidRPr="0096702C">
        <w:rPr>
          <w:iCs/>
          <w:color w:val="auto"/>
          <w:sz w:val="22"/>
          <w:szCs w:val="22"/>
        </w:rPr>
        <w:t>Reinforcing the capacities and resilience of CSOs to contribute to the EU accession process and carry out activities effectively to ensure participation in the screening, bilateral meetings</w:t>
      </w:r>
      <w:r>
        <w:rPr>
          <w:iCs/>
          <w:color w:val="auto"/>
          <w:sz w:val="22"/>
          <w:szCs w:val="22"/>
        </w:rPr>
        <w:t>, public consultations</w:t>
      </w:r>
      <w:r w:rsidRPr="0096702C">
        <w:rPr>
          <w:iCs/>
          <w:color w:val="auto"/>
          <w:sz w:val="22"/>
          <w:szCs w:val="22"/>
        </w:rPr>
        <w:t xml:space="preserve"> </w:t>
      </w:r>
      <w:r>
        <w:rPr>
          <w:iCs/>
          <w:color w:val="auto"/>
          <w:sz w:val="22"/>
          <w:szCs w:val="22"/>
        </w:rPr>
        <w:t>etc.</w:t>
      </w:r>
      <w:r w:rsidRPr="0096702C">
        <w:rPr>
          <w:iCs/>
          <w:color w:val="auto"/>
          <w:sz w:val="22"/>
          <w:szCs w:val="22"/>
        </w:rPr>
        <w:t>;</w:t>
      </w:r>
    </w:p>
    <w:p w14:paraId="28836BC8" w14:textId="77777777" w:rsidR="007B20AE" w:rsidRPr="0096702C" w:rsidRDefault="007B20AE" w:rsidP="00EA610C">
      <w:pPr>
        <w:pStyle w:val="Default"/>
        <w:numPr>
          <w:ilvl w:val="0"/>
          <w:numId w:val="31"/>
        </w:numPr>
        <w:ind w:left="714" w:hanging="357"/>
        <w:jc w:val="both"/>
        <w:rPr>
          <w:iCs/>
          <w:color w:val="auto"/>
          <w:sz w:val="22"/>
          <w:szCs w:val="22"/>
          <w:lang w:eastAsia="en-US"/>
        </w:rPr>
      </w:pPr>
      <w:r>
        <w:rPr>
          <w:iCs/>
          <w:sz w:val="22"/>
          <w:szCs w:val="22"/>
          <w:lang w:eastAsia="en-US"/>
        </w:rPr>
        <w:t>Raising awareness about the</w:t>
      </w:r>
      <w:r w:rsidRPr="0096702C">
        <w:rPr>
          <w:iCs/>
          <w:sz w:val="22"/>
          <w:szCs w:val="22"/>
          <w:lang w:eastAsia="en-US"/>
        </w:rPr>
        <w:t xml:space="preserve"> EU </w:t>
      </w:r>
      <w:r w:rsidR="004A7BB7">
        <w:rPr>
          <w:iCs/>
          <w:sz w:val="22"/>
          <w:szCs w:val="22"/>
          <w:lang w:eastAsia="en-US"/>
        </w:rPr>
        <w:t xml:space="preserve">integration </w:t>
      </w:r>
      <w:r w:rsidRPr="0096702C">
        <w:rPr>
          <w:iCs/>
          <w:sz w:val="22"/>
          <w:szCs w:val="22"/>
          <w:lang w:eastAsia="en-US"/>
        </w:rPr>
        <w:t xml:space="preserve">among Moldovan society by </w:t>
      </w:r>
      <w:r w:rsidRPr="0096702C">
        <w:rPr>
          <w:iCs/>
          <w:color w:val="auto"/>
          <w:sz w:val="22"/>
          <w:szCs w:val="22"/>
        </w:rPr>
        <w:t>supporting civic engagement at all levels of the accession process and building a resilient, democratic future understanding of challenges of societal transformation on the way to the EU;</w:t>
      </w:r>
    </w:p>
    <w:p w14:paraId="54CA94A6" w14:textId="77777777" w:rsidR="007B20AE" w:rsidRPr="008A79C2" w:rsidRDefault="007B20AE" w:rsidP="00EA610C">
      <w:pPr>
        <w:pStyle w:val="Listenabsatz"/>
        <w:numPr>
          <w:ilvl w:val="0"/>
          <w:numId w:val="31"/>
        </w:numPr>
        <w:spacing w:after="0"/>
        <w:ind w:left="714" w:hanging="357"/>
        <w:rPr>
          <w:iCs/>
          <w:szCs w:val="22"/>
        </w:rPr>
      </w:pPr>
      <w:r w:rsidRPr="008A79C2">
        <w:rPr>
          <w:iCs/>
          <w:szCs w:val="22"/>
        </w:rPr>
        <w:t xml:space="preserve">Organising communication and engagement </w:t>
      </w:r>
      <w:r w:rsidR="004A7BB7" w:rsidRPr="008A79C2">
        <w:rPr>
          <w:iCs/>
          <w:szCs w:val="22"/>
        </w:rPr>
        <w:t>activities to raise awareness about</w:t>
      </w:r>
      <w:r w:rsidRPr="008A79C2">
        <w:rPr>
          <w:iCs/>
          <w:szCs w:val="22"/>
        </w:rPr>
        <w:t xml:space="preserve"> the EU inte</w:t>
      </w:r>
      <w:r w:rsidR="004A7BB7" w:rsidRPr="008A79C2">
        <w:rPr>
          <w:iCs/>
          <w:szCs w:val="22"/>
        </w:rPr>
        <w:t>gration and promote civic citizenship and participatory democracy</w:t>
      </w:r>
      <w:r w:rsidRPr="008A79C2">
        <w:rPr>
          <w:iCs/>
          <w:szCs w:val="22"/>
        </w:rPr>
        <w:t xml:space="preserve"> in Moldova;</w:t>
      </w:r>
    </w:p>
    <w:p w14:paraId="7AB57899" w14:textId="77777777" w:rsidR="008A79C2" w:rsidRPr="00653411" w:rsidRDefault="007B20AE" w:rsidP="00EA610C">
      <w:pPr>
        <w:pStyle w:val="Default"/>
        <w:numPr>
          <w:ilvl w:val="0"/>
          <w:numId w:val="31"/>
        </w:numPr>
        <w:ind w:left="714" w:hanging="357"/>
        <w:jc w:val="both"/>
        <w:rPr>
          <w:iCs/>
          <w:color w:val="auto"/>
          <w:sz w:val="22"/>
          <w:szCs w:val="22"/>
        </w:rPr>
      </w:pPr>
      <w:r w:rsidRPr="008A79C2">
        <w:rPr>
          <w:iCs/>
          <w:sz w:val="22"/>
          <w:szCs w:val="22"/>
        </w:rPr>
        <w:t xml:space="preserve">Supporting active CSOs platforms and networks to reinforce organised dialogue with national and </w:t>
      </w:r>
      <w:r w:rsidRPr="00653411">
        <w:rPr>
          <w:iCs/>
          <w:sz w:val="22"/>
          <w:szCs w:val="22"/>
        </w:rPr>
        <w:t>local authorities to address key topics relevant to the EU accession negotiation process;</w:t>
      </w:r>
      <w:r w:rsidR="008A79C2" w:rsidRPr="00653411">
        <w:rPr>
          <w:sz w:val="22"/>
          <w:szCs w:val="22"/>
        </w:rPr>
        <w:t xml:space="preserve"> </w:t>
      </w:r>
    </w:p>
    <w:p w14:paraId="1EE06CB0" w14:textId="77777777" w:rsidR="003522C2" w:rsidRPr="0096702C" w:rsidRDefault="003522C2" w:rsidP="00EA610C">
      <w:pPr>
        <w:pStyle w:val="Default"/>
        <w:numPr>
          <w:ilvl w:val="0"/>
          <w:numId w:val="31"/>
        </w:numPr>
        <w:ind w:left="714" w:hanging="357"/>
        <w:jc w:val="both"/>
        <w:rPr>
          <w:iCs/>
          <w:color w:val="auto"/>
          <w:sz w:val="22"/>
          <w:szCs w:val="22"/>
        </w:rPr>
      </w:pPr>
      <w:r w:rsidRPr="00653411">
        <w:rPr>
          <w:sz w:val="22"/>
          <w:szCs w:val="22"/>
        </w:rPr>
        <w:t>Supporting local CSO platforms</w:t>
      </w:r>
      <w:r w:rsidR="00653411" w:rsidRPr="00653411">
        <w:rPr>
          <w:sz w:val="22"/>
          <w:szCs w:val="22"/>
        </w:rPr>
        <w:t xml:space="preserve">, such as </w:t>
      </w:r>
      <w:proofErr w:type="spellStart"/>
      <w:r w:rsidRPr="00653411">
        <w:rPr>
          <w:sz w:val="22"/>
          <w:szCs w:val="22"/>
        </w:rPr>
        <w:t>EaP</w:t>
      </w:r>
      <w:proofErr w:type="spellEnd"/>
      <w:r w:rsidRPr="00653411">
        <w:rPr>
          <w:sz w:val="22"/>
          <w:szCs w:val="22"/>
        </w:rPr>
        <w:t xml:space="preserve"> Civil Society Forum National Platform, EU-Moldova Civil Society Platform</w:t>
      </w:r>
      <w:r w:rsidR="00653411" w:rsidRPr="00653411">
        <w:rPr>
          <w:sz w:val="22"/>
          <w:szCs w:val="22"/>
        </w:rPr>
        <w:t>,</w:t>
      </w:r>
      <w:r w:rsidRPr="00653411">
        <w:rPr>
          <w:sz w:val="22"/>
          <w:szCs w:val="22"/>
        </w:rPr>
        <w:t xml:space="preserve"> and networks to promote coordination, collaboration and exchange </w:t>
      </w:r>
      <w:r w:rsidRPr="00653411">
        <w:rPr>
          <w:iCs/>
          <w:color w:val="auto"/>
          <w:sz w:val="22"/>
          <w:szCs w:val="22"/>
        </w:rPr>
        <w:t xml:space="preserve">towards increased abilities to advocate, </w:t>
      </w:r>
      <w:r w:rsidRPr="0096702C">
        <w:rPr>
          <w:iCs/>
          <w:color w:val="auto"/>
          <w:sz w:val="22"/>
          <w:szCs w:val="22"/>
        </w:rPr>
        <w:t xml:space="preserve">monitor and participate in reform processes in achieving an effective policy dialogue regarding the EU accession process; </w:t>
      </w:r>
    </w:p>
    <w:p w14:paraId="22B64D05" w14:textId="77777777" w:rsidR="008A79C2" w:rsidRPr="008A79C2" w:rsidRDefault="003522C2" w:rsidP="00EA610C">
      <w:pPr>
        <w:pStyle w:val="Default"/>
        <w:numPr>
          <w:ilvl w:val="0"/>
          <w:numId w:val="31"/>
        </w:numPr>
        <w:ind w:left="714" w:hanging="357"/>
        <w:jc w:val="both"/>
        <w:rPr>
          <w:iCs/>
          <w:color w:val="auto"/>
          <w:sz w:val="22"/>
          <w:szCs w:val="22"/>
        </w:rPr>
      </w:pPr>
      <w:r>
        <w:rPr>
          <w:sz w:val="22"/>
          <w:szCs w:val="22"/>
        </w:rPr>
        <w:t>Supporting</w:t>
      </w:r>
      <w:r w:rsidR="008A79C2" w:rsidRPr="008A79C2">
        <w:rPr>
          <w:sz w:val="22"/>
          <w:szCs w:val="22"/>
        </w:rPr>
        <w:t xml:space="preserve"> national civil society platforms and networks and civil society participation in multi-stakeholder dialogue fora, processes and platforms, aimed at strengthening alliances for civil society with other international actors including media, private sector, academia etc.;</w:t>
      </w:r>
    </w:p>
    <w:p w14:paraId="46B56B51" w14:textId="77777777" w:rsidR="008A79C2" w:rsidRPr="008A79C2" w:rsidRDefault="008A79C2" w:rsidP="00EA610C">
      <w:pPr>
        <w:pStyle w:val="Default"/>
        <w:numPr>
          <w:ilvl w:val="0"/>
          <w:numId w:val="31"/>
        </w:numPr>
        <w:ind w:left="714" w:hanging="357"/>
        <w:jc w:val="both"/>
        <w:rPr>
          <w:iCs/>
          <w:color w:val="auto"/>
          <w:sz w:val="22"/>
          <w:szCs w:val="22"/>
        </w:rPr>
      </w:pPr>
      <w:r w:rsidRPr="008A79C2">
        <w:rPr>
          <w:iCs/>
          <w:color w:val="auto"/>
          <w:sz w:val="22"/>
          <w:szCs w:val="22"/>
        </w:rPr>
        <w:t xml:space="preserve">Providing </w:t>
      </w:r>
      <w:r>
        <w:rPr>
          <w:iCs/>
          <w:color w:val="auto"/>
          <w:sz w:val="22"/>
          <w:szCs w:val="22"/>
        </w:rPr>
        <w:t>o</w:t>
      </w:r>
      <w:r w:rsidRPr="008A79C2">
        <w:rPr>
          <w:iCs/>
          <w:color w:val="auto"/>
          <w:sz w:val="22"/>
          <w:szCs w:val="22"/>
        </w:rPr>
        <w:t xml:space="preserve">pportunities for CSOs to interact and network with their national, regional and European level counterparts and to create new partnerships; </w:t>
      </w:r>
    </w:p>
    <w:p w14:paraId="38E2EC9A" w14:textId="77777777" w:rsidR="007B20AE" w:rsidRPr="0096702C" w:rsidRDefault="007B20AE" w:rsidP="00EA610C">
      <w:pPr>
        <w:pStyle w:val="Listenabsatz"/>
        <w:numPr>
          <w:ilvl w:val="0"/>
          <w:numId w:val="31"/>
        </w:numPr>
        <w:spacing w:after="0"/>
        <w:ind w:left="714" w:hanging="357"/>
        <w:rPr>
          <w:iCs/>
          <w:szCs w:val="22"/>
        </w:rPr>
      </w:pPr>
      <w:r w:rsidRPr="008A79C2">
        <w:rPr>
          <w:iCs/>
          <w:szCs w:val="22"/>
        </w:rPr>
        <w:t xml:space="preserve">Strengthening the skills of Moldovan civil society to expand its knowledge about the EU and the accession process and to ensure active and efficient participation in the EU accession negotiations </w:t>
      </w:r>
      <w:r w:rsidRPr="008A79C2">
        <w:rPr>
          <w:iCs/>
          <w:szCs w:val="22"/>
        </w:rPr>
        <w:lastRenderedPageBreak/>
        <w:t xml:space="preserve">through negotiation training, capacity building, mentorship, study visits to facilitate sharing of expertise and experience </w:t>
      </w:r>
      <w:r w:rsidRPr="0096702C">
        <w:rPr>
          <w:iCs/>
          <w:szCs w:val="22"/>
        </w:rPr>
        <w:t>on enlargement;</w:t>
      </w:r>
    </w:p>
    <w:p w14:paraId="749B922E" w14:textId="77777777" w:rsidR="007B20AE" w:rsidRPr="0096702C" w:rsidRDefault="007B20AE" w:rsidP="00EA610C">
      <w:pPr>
        <w:pStyle w:val="Default"/>
        <w:numPr>
          <w:ilvl w:val="0"/>
          <w:numId w:val="31"/>
        </w:numPr>
        <w:ind w:left="714" w:hanging="357"/>
        <w:jc w:val="both"/>
        <w:rPr>
          <w:iCs/>
          <w:color w:val="auto"/>
          <w:sz w:val="22"/>
          <w:szCs w:val="22"/>
        </w:rPr>
      </w:pPr>
      <w:r w:rsidRPr="0096702C">
        <w:rPr>
          <w:iCs/>
          <w:color w:val="auto"/>
          <w:sz w:val="22"/>
          <w:szCs w:val="22"/>
        </w:rPr>
        <w:t>Promoting transparency and government accountability including societal policy debates and EU integration processes;</w:t>
      </w:r>
    </w:p>
    <w:p w14:paraId="0F43DE6F" w14:textId="77777777" w:rsidR="007B20AE" w:rsidRPr="0096702C" w:rsidRDefault="007B20AE" w:rsidP="00EA610C">
      <w:pPr>
        <w:pStyle w:val="Default"/>
        <w:numPr>
          <w:ilvl w:val="0"/>
          <w:numId w:val="31"/>
        </w:numPr>
        <w:ind w:left="714" w:hanging="357"/>
        <w:jc w:val="both"/>
        <w:rPr>
          <w:iCs/>
          <w:color w:val="auto"/>
          <w:sz w:val="22"/>
          <w:szCs w:val="22"/>
        </w:rPr>
      </w:pPr>
      <w:r w:rsidRPr="0096702C">
        <w:rPr>
          <w:iCs/>
          <w:color w:val="auto"/>
          <w:sz w:val="22"/>
          <w:szCs w:val="22"/>
        </w:rPr>
        <w:t>Improving CSO organisational capacity related to internal governance; programme, project and financial management, advocacy, CSO effectiveness, accountability and transparency; supporting CSO financial management capacities, capacity building to keep up with technological advancements like AI and data technology;</w:t>
      </w:r>
    </w:p>
    <w:p w14:paraId="39B8F535" w14:textId="77777777" w:rsidR="007B20AE" w:rsidRPr="0096702C" w:rsidRDefault="007B20AE" w:rsidP="00EA610C">
      <w:pPr>
        <w:pStyle w:val="Default"/>
        <w:numPr>
          <w:ilvl w:val="0"/>
          <w:numId w:val="31"/>
        </w:numPr>
        <w:ind w:left="714" w:hanging="357"/>
        <w:jc w:val="both"/>
        <w:rPr>
          <w:iCs/>
          <w:color w:val="auto"/>
          <w:sz w:val="22"/>
          <w:szCs w:val="22"/>
        </w:rPr>
      </w:pPr>
      <w:r w:rsidRPr="0096702C">
        <w:rPr>
          <w:iCs/>
          <w:color w:val="auto"/>
          <w:sz w:val="22"/>
          <w:szCs w:val="22"/>
        </w:rPr>
        <w:t xml:space="preserve">Strengthening CSOs capacities through flexible financial support to third </w:t>
      </w:r>
      <w:proofErr w:type="gramStart"/>
      <w:r w:rsidRPr="0096702C">
        <w:rPr>
          <w:iCs/>
          <w:color w:val="auto"/>
          <w:sz w:val="22"/>
          <w:szCs w:val="22"/>
        </w:rPr>
        <w:t>parties</w:t>
      </w:r>
      <w:proofErr w:type="gramEnd"/>
      <w:r w:rsidRPr="0096702C">
        <w:rPr>
          <w:iCs/>
          <w:color w:val="auto"/>
          <w:sz w:val="22"/>
          <w:szCs w:val="22"/>
        </w:rPr>
        <w:t xml:space="preserve"> mechanisms in all fields relevant to the accession to the EU;</w:t>
      </w:r>
    </w:p>
    <w:p w14:paraId="07A3C487" w14:textId="77777777" w:rsidR="00404182" w:rsidRPr="00A13828" w:rsidRDefault="00404182" w:rsidP="00404182">
      <w:pPr>
        <w:pStyle w:val="Default"/>
        <w:jc w:val="both"/>
        <w:rPr>
          <w:rStyle w:val="Hervorhebung"/>
          <w:i w:val="0"/>
          <w:color w:val="FF0000"/>
          <w:sz w:val="22"/>
          <w:szCs w:val="22"/>
        </w:rPr>
      </w:pPr>
    </w:p>
    <w:p w14:paraId="30B73374" w14:textId="2B7CD7C2" w:rsidR="00404182" w:rsidRPr="005A4865" w:rsidRDefault="00404182" w:rsidP="00404182">
      <w:pPr>
        <w:pStyle w:val="Default"/>
        <w:jc w:val="both"/>
        <w:rPr>
          <w:b/>
          <w:color w:val="auto"/>
          <w:sz w:val="22"/>
          <w:szCs w:val="22"/>
        </w:rPr>
      </w:pPr>
      <w:r w:rsidRPr="005A4865">
        <w:rPr>
          <w:b/>
          <w:color w:val="auto"/>
          <w:sz w:val="22"/>
          <w:szCs w:val="22"/>
          <w:u w:val="single"/>
        </w:rPr>
        <w:t>Lot 2:</w:t>
      </w:r>
      <w:r w:rsidRPr="005A4865">
        <w:rPr>
          <w:b/>
          <w:color w:val="auto"/>
          <w:sz w:val="22"/>
          <w:szCs w:val="22"/>
        </w:rPr>
        <w:t xml:space="preserve"> Increasing the capacities of local civil society </w:t>
      </w:r>
      <w:r w:rsidR="00BE724B">
        <w:rPr>
          <w:b/>
          <w:color w:val="auto"/>
          <w:sz w:val="22"/>
          <w:szCs w:val="22"/>
        </w:rPr>
        <w:t>organisations to better perform their</w:t>
      </w:r>
      <w:r w:rsidRPr="005A4865">
        <w:rPr>
          <w:b/>
          <w:color w:val="auto"/>
          <w:sz w:val="22"/>
          <w:szCs w:val="22"/>
        </w:rPr>
        <w:t xml:space="preserve"> role as community mobilisation actor in the context of the EU integration process and promote local sustainable development initiatives</w:t>
      </w:r>
      <w:r w:rsidR="005A4865" w:rsidRPr="005A4865">
        <w:rPr>
          <w:b/>
          <w:color w:val="auto"/>
          <w:sz w:val="22"/>
          <w:szCs w:val="22"/>
        </w:rPr>
        <w:t>:</w:t>
      </w:r>
    </w:p>
    <w:p w14:paraId="7F3DBCC2" w14:textId="77777777" w:rsidR="005A4865" w:rsidRDefault="005A4865" w:rsidP="00404182">
      <w:pPr>
        <w:pStyle w:val="Default"/>
        <w:jc w:val="both"/>
        <w:rPr>
          <w:color w:val="auto"/>
          <w:sz w:val="22"/>
          <w:szCs w:val="22"/>
        </w:rPr>
      </w:pPr>
    </w:p>
    <w:p w14:paraId="7E7F5396" w14:textId="77777777" w:rsidR="003F156E" w:rsidRPr="0096702C" w:rsidRDefault="003F156E" w:rsidP="00EA610C">
      <w:pPr>
        <w:pStyle w:val="Default"/>
        <w:numPr>
          <w:ilvl w:val="0"/>
          <w:numId w:val="31"/>
        </w:numPr>
        <w:rPr>
          <w:color w:val="auto"/>
          <w:sz w:val="22"/>
          <w:szCs w:val="22"/>
        </w:rPr>
      </w:pPr>
      <w:r w:rsidRPr="0096702C">
        <w:rPr>
          <w:color w:val="auto"/>
          <w:sz w:val="22"/>
          <w:szCs w:val="22"/>
        </w:rPr>
        <w:t xml:space="preserve">Promoting civic education of citizens and awareness raising about societal change in the context of the European integration process of the Republic of Moldova;  </w:t>
      </w:r>
    </w:p>
    <w:p w14:paraId="75B69E18" w14:textId="77777777" w:rsidR="003F156E" w:rsidRPr="0096702C" w:rsidRDefault="003F156E" w:rsidP="00EA610C">
      <w:pPr>
        <w:pStyle w:val="Default"/>
        <w:numPr>
          <w:ilvl w:val="0"/>
          <w:numId w:val="31"/>
        </w:numPr>
        <w:jc w:val="both"/>
        <w:rPr>
          <w:iCs/>
          <w:color w:val="auto"/>
          <w:sz w:val="22"/>
          <w:szCs w:val="22"/>
        </w:rPr>
      </w:pPr>
      <w:r w:rsidRPr="0096702C">
        <w:rPr>
          <w:iCs/>
          <w:color w:val="auto"/>
          <w:sz w:val="22"/>
          <w:szCs w:val="22"/>
        </w:rPr>
        <w:t xml:space="preserve">Reinforcing inclusive civic participation in public policy processes and improve cooperation and dialogue between civil society and the relevant national </w:t>
      </w:r>
      <w:r w:rsidR="00D84389">
        <w:rPr>
          <w:iCs/>
          <w:color w:val="auto"/>
          <w:sz w:val="22"/>
          <w:szCs w:val="22"/>
        </w:rPr>
        <w:t xml:space="preserve">and local </w:t>
      </w:r>
      <w:r w:rsidRPr="0096702C">
        <w:rPr>
          <w:iCs/>
          <w:color w:val="auto"/>
          <w:sz w:val="22"/>
          <w:szCs w:val="22"/>
        </w:rPr>
        <w:t xml:space="preserve">authorities; </w:t>
      </w:r>
    </w:p>
    <w:p w14:paraId="79DC019E" w14:textId="77777777" w:rsidR="003F156E" w:rsidRDefault="00D84389" w:rsidP="00EA610C">
      <w:pPr>
        <w:pStyle w:val="Default"/>
        <w:numPr>
          <w:ilvl w:val="0"/>
          <w:numId w:val="31"/>
        </w:numPr>
        <w:rPr>
          <w:color w:val="auto"/>
          <w:sz w:val="22"/>
          <w:szCs w:val="22"/>
        </w:rPr>
      </w:pPr>
      <w:r>
        <w:rPr>
          <w:color w:val="auto"/>
          <w:sz w:val="22"/>
          <w:szCs w:val="22"/>
        </w:rPr>
        <w:t>Encouraging i</w:t>
      </w:r>
      <w:r w:rsidR="003F156E" w:rsidRPr="0096702C">
        <w:rPr>
          <w:color w:val="auto"/>
          <w:sz w:val="22"/>
          <w:szCs w:val="22"/>
        </w:rPr>
        <w:t xml:space="preserve">nnovative approaches to promote citizens’ participation in social, political and economic life of the country in the context of EU accession; </w:t>
      </w:r>
    </w:p>
    <w:p w14:paraId="0836F0D4" w14:textId="77777777" w:rsidR="00E50D06" w:rsidRPr="0096702C" w:rsidRDefault="00E50D06" w:rsidP="00EA610C">
      <w:pPr>
        <w:numPr>
          <w:ilvl w:val="0"/>
          <w:numId w:val="31"/>
        </w:numPr>
        <w:autoSpaceDE w:val="0"/>
        <w:autoSpaceDN w:val="0"/>
        <w:adjustRightInd w:val="0"/>
        <w:spacing w:after="0"/>
        <w:rPr>
          <w:szCs w:val="22"/>
          <w:lang w:eastAsia="en-GB"/>
        </w:rPr>
      </w:pPr>
      <w:r w:rsidRPr="0096702C">
        <w:rPr>
          <w:szCs w:val="22"/>
          <w:lang w:eastAsia="en-GB"/>
        </w:rPr>
        <w:t>Promoting pro-democracy discourse</w:t>
      </w:r>
      <w:r w:rsidR="005A6315">
        <w:rPr>
          <w:szCs w:val="22"/>
          <w:lang w:eastAsia="en-GB"/>
        </w:rPr>
        <w:t>, increasing</w:t>
      </w:r>
      <w:r w:rsidRPr="0096702C">
        <w:rPr>
          <w:szCs w:val="22"/>
          <w:lang w:eastAsia="en-GB"/>
        </w:rPr>
        <w:t xml:space="preserve"> citizens’ civic and political culture and critical thinking </w:t>
      </w:r>
      <w:r>
        <w:rPr>
          <w:szCs w:val="22"/>
          <w:lang w:eastAsia="en-GB"/>
        </w:rPr>
        <w:t>on</w:t>
      </w:r>
      <w:r w:rsidRPr="0096702C">
        <w:rPr>
          <w:szCs w:val="22"/>
          <w:lang w:eastAsia="en-GB"/>
        </w:rPr>
        <w:t xml:space="preserve"> stringent</w:t>
      </w:r>
      <w:r w:rsidR="00F175EB">
        <w:rPr>
          <w:szCs w:val="22"/>
          <w:lang w:eastAsia="en-GB"/>
        </w:rPr>
        <w:t>/actual</w:t>
      </w:r>
      <w:r w:rsidRPr="0096702C">
        <w:rPr>
          <w:szCs w:val="22"/>
          <w:lang w:eastAsia="en-GB"/>
        </w:rPr>
        <w:t xml:space="preserve"> topics of citizens’ policy agenda, importance of </w:t>
      </w:r>
      <w:r w:rsidR="005A6315">
        <w:rPr>
          <w:szCs w:val="22"/>
          <w:lang w:eastAsia="en-GB"/>
        </w:rPr>
        <w:t xml:space="preserve">solidarity and </w:t>
      </w:r>
      <w:r w:rsidRPr="0096702C">
        <w:rPr>
          <w:szCs w:val="22"/>
          <w:lang w:eastAsia="en-GB"/>
        </w:rPr>
        <w:t>democratic values</w:t>
      </w:r>
      <w:r>
        <w:rPr>
          <w:szCs w:val="22"/>
          <w:lang w:eastAsia="en-GB"/>
        </w:rPr>
        <w:t>;</w:t>
      </w:r>
    </w:p>
    <w:p w14:paraId="3EC1B42E" w14:textId="77777777" w:rsidR="003F156E" w:rsidRPr="0096702C" w:rsidRDefault="003F156E" w:rsidP="00EA610C">
      <w:pPr>
        <w:pStyle w:val="Default"/>
        <w:numPr>
          <w:ilvl w:val="0"/>
          <w:numId w:val="31"/>
        </w:numPr>
        <w:rPr>
          <w:color w:val="auto"/>
          <w:sz w:val="22"/>
          <w:szCs w:val="22"/>
        </w:rPr>
      </w:pPr>
      <w:r w:rsidRPr="0096702C">
        <w:rPr>
          <w:color w:val="auto"/>
          <w:sz w:val="22"/>
          <w:szCs w:val="22"/>
        </w:rPr>
        <w:t>Engagement with citizens, local civil society, local public authorities, to improve the quality of policymaking so that it fits better the needs of citizens and foster vibrant debates on issues affecting everyday life and the future of the country, building democratic society;</w:t>
      </w:r>
    </w:p>
    <w:p w14:paraId="282A2746" w14:textId="13E0C916" w:rsidR="003F156E" w:rsidRPr="00AB4925" w:rsidRDefault="003F156E" w:rsidP="00EA610C">
      <w:pPr>
        <w:pStyle w:val="Default"/>
        <w:numPr>
          <w:ilvl w:val="0"/>
          <w:numId w:val="31"/>
        </w:numPr>
        <w:jc w:val="both"/>
        <w:rPr>
          <w:color w:val="auto"/>
          <w:sz w:val="22"/>
          <w:szCs w:val="22"/>
        </w:rPr>
      </w:pPr>
      <w:r w:rsidRPr="0096702C">
        <w:rPr>
          <w:color w:val="auto"/>
          <w:sz w:val="22"/>
          <w:szCs w:val="22"/>
        </w:rPr>
        <w:t>Increasing capacities and resources for local civil society organisations</w:t>
      </w:r>
      <w:r w:rsidR="004D3B7E">
        <w:rPr>
          <w:color w:val="auto"/>
          <w:sz w:val="22"/>
          <w:szCs w:val="22"/>
        </w:rPr>
        <w:t xml:space="preserve">, </w:t>
      </w:r>
      <w:proofErr w:type="gramStart"/>
      <w:r w:rsidR="004D3B7E">
        <w:rPr>
          <w:color w:val="auto"/>
          <w:sz w:val="22"/>
          <w:szCs w:val="22"/>
        </w:rPr>
        <w:t>community based</w:t>
      </w:r>
      <w:proofErr w:type="gramEnd"/>
      <w:r w:rsidR="004D3B7E">
        <w:rPr>
          <w:color w:val="auto"/>
          <w:sz w:val="22"/>
          <w:szCs w:val="22"/>
        </w:rPr>
        <w:t xml:space="preserve"> organisations,</w:t>
      </w:r>
      <w:r w:rsidRPr="0096702C">
        <w:rPr>
          <w:color w:val="auto"/>
          <w:sz w:val="22"/>
          <w:szCs w:val="22"/>
        </w:rPr>
        <w:t xml:space="preserve"> local action groups as drivers of local development through the implementation of </w:t>
      </w:r>
      <w:r w:rsidRPr="00AB4925">
        <w:rPr>
          <w:color w:val="auto"/>
          <w:sz w:val="22"/>
          <w:szCs w:val="22"/>
        </w:rPr>
        <w:t>small-scale projects;</w:t>
      </w:r>
    </w:p>
    <w:p w14:paraId="3834B49F" w14:textId="152EF33D" w:rsidR="004D3B7E" w:rsidRPr="00AB4925" w:rsidRDefault="002112BF" w:rsidP="00EA610C">
      <w:pPr>
        <w:pStyle w:val="Default"/>
        <w:numPr>
          <w:ilvl w:val="0"/>
          <w:numId w:val="31"/>
        </w:numPr>
        <w:jc w:val="both"/>
        <w:rPr>
          <w:color w:val="auto"/>
          <w:sz w:val="22"/>
          <w:szCs w:val="22"/>
        </w:rPr>
      </w:pPr>
      <w:r w:rsidRPr="00AB4925">
        <w:rPr>
          <w:color w:val="auto"/>
          <w:sz w:val="22"/>
          <w:szCs w:val="22"/>
        </w:rPr>
        <w:t>Training and c</w:t>
      </w:r>
      <w:r w:rsidR="004D3B7E" w:rsidRPr="00AB4925">
        <w:rPr>
          <w:color w:val="auto"/>
          <w:sz w:val="22"/>
          <w:szCs w:val="22"/>
        </w:rPr>
        <w:t xml:space="preserve">apacity building for local civil society organisations, </w:t>
      </w:r>
      <w:proofErr w:type="gramStart"/>
      <w:r w:rsidR="004D3B7E" w:rsidRPr="00AB4925">
        <w:rPr>
          <w:color w:val="auto"/>
          <w:sz w:val="22"/>
          <w:szCs w:val="22"/>
        </w:rPr>
        <w:t>community based</w:t>
      </w:r>
      <w:proofErr w:type="gramEnd"/>
      <w:r w:rsidR="004D3B7E" w:rsidRPr="00AB4925">
        <w:rPr>
          <w:color w:val="auto"/>
          <w:sz w:val="22"/>
          <w:szCs w:val="22"/>
        </w:rPr>
        <w:t xml:space="preserve"> organisations, local action groups to manage and implement projects</w:t>
      </w:r>
      <w:r w:rsidR="00ED32B6" w:rsidRPr="00AB4925">
        <w:rPr>
          <w:color w:val="auto"/>
          <w:sz w:val="22"/>
          <w:szCs w:val="22"/>
        </w:rPr>
        <w:t xml:space="preserve">, </w:t>
      </w:r>
      <w:r w:rsidRPr="00AB4925">
        <w:rPr>
          <w:color w:val="auto"/>
          <w:sz w:val="22"/>
          <w:szCs w:val="22"/>
        </w:rPr>
        <w:t>developing their digital skills, communication skills etc.</w:t>
      </w:r>
      <w:r w:rsidR="00ED32B6" w:rsidRPr="00AB4925">
        <w:rPr>
          <w:color w:val="auto"/>
          <w:sz w:val="22"/>
          <w:szCs w:val="22"/>
        </w:rPr>
        <w:t>;</w:t>
      </w:r>
    </w:p>
    <w:p w14:paraId="743164BE" w14:textId="77777777" w:rsidR="003F156E" w:rsidRPr="0096702C" w:rsidRDefault="003F156E" w:rsidP="00EA610C">
      <w:pPr>
        <w:pStyle w:val="Default"/>
        <w:numPr>
          <w:ilvl w:val="0"/>
          <w:numId w:val="31"/>
        </w:numPr>
        <w:jc w:val="both"/>
        <w:rPr>
          <w:color w:val="auto"/>
          <w:sz w:val="22"/>
          <w:szCs w:val="22"/>
        </w:rPr>
      </w:pPr>
      <w:r w:rsidRPr="0096702C">
        <w:rPr>
          <w:color w:val="auto"/>
          <w:sz w:val="22"/>
          <w:szCs w:val="22"/>
        </w:rPr>
        <w:t>Supporting new and innovative community projects aimed at promotin</w:t>
      </w:r>
      <w:r w:rsidR="00D84389">
        <w:rPr>
          <w:color w:val="auto"/>
          <w:sz w:val="22"/>
          <w:szCs w:val="22"/>
        </w:rPr>
        <w:t>g culture, tourism, traditions</w:t>
      </w:r>
      <w:r w:rsidRPr="0096702C">
        <w:rPr>
          <w:color w:val="auto"/>
          <w:sz w:val="22"/>
          <w:szCs w:val="22"/>
        </w:rPr>
        <w:t>, arts, sport, gender equality, human rights, social inclusion, local development initiatives</w:t>
      </w:r>
      <w:r w:rsidR="00D84389">
        <w:rPr>
          <w:color w:val="auto"/>
          <w:sz w:val="22"/>
          <w:szCs w:val="22"/>
        </w:rPr>
        <w:t>,</w:t>
      </w:r>
      <w:r w:rsidRPr="0096702C">
        <w:rPr>
          <w:color w:val="auto"/>
          <w:sz w:val="22"/>
          <w:szCs w:val="22"/>
        </w:rPr>
        <w:t xml:space="preserve"> </w:t>
      </w:r>
      <w:r w:rsidR="00D84389" w:rsidRPr="0096702C">
        <w:rPr>
          <w:color w:val="auto"/>
          <w:sz w:val="22"/>
          <w:szCs w:val="22"/>
        </w:rPr>
        <w:t>protection of environment, climate change</w:t>
      </w:r>
      <w:r w:rsidR="00E50D06">
        <w:rPr>
          <w:color w:val="auto"/>
          <w:sz w:val="22"/>
          <w:szCs w:val="22"/>
        </w:rPr>
        <w:t xml:space="preserve"> etc.;</w:t>
      </w:r>
    </w:p>
    <w:p w14:paraId="25F2D5B2" w14:textId="77777777" w:rsidR="003F156E" w:rsidRPr="0096702C" w:rsidRDefault="003F156E" w:rsidP="00EA610C">
      <w:pPr>
        <w:pStyle w:val="Default"/>
        <w:numPr>
          <w:ilvl w:val="0"/>
          <w:numId w:val="31"/>
        </w:numPr>
        <w:rPr>
          <w:color w:val="auto"/>
          <w:sz w:val="22"/>
          <w:szCs w:val="22"/>
        </w:rPr>
      </w:pPr>
      <w:r w:rsidRPr="0096702C">
        <w:rPr>
          <w:color w:val="auto"/>
          <w:sz w:val="22"/>
          <w:szCs w:val="22"/>
        </w:rPr>
        <w:t>Development of strong partnerships between the local civil society organisations, local action groups and local public authorities for the creation of sustainable livelihoods, building safe, healthy, connected and inclusive communities, encouraging local business growth etc.;</w:t>
      </w:r>
    </w:p>
    <w:p w14:paraId="6FFCCD20" w14:textId="77777777" w:rsidR="003F156E" w:rsidRPr="00501C5F" w:rsidRDefault="00501C5F" w:rsidP="00EA610C">
      <w:pPr>
        <w:pStyle w:val="Default"/>
        <w:numPr>
          <w:ilvl w:val="0"/>
          <w:numId w:val="31"/>
        </w:numPr>
        <w:rPr>
          <w:color w:val="auto"/>
          <w:sz w:val="22"/>
          <w:szCs w:val="22"/>
        </w:rPr>
      </w:pPr>
      <w:r w:rsidRPr="00501C5F">
        <w:rPr>
          <w:color w:val="auto"/>
          <w:sz w:val="22"/>
          <w:szCs w:val="22"/>
        </w:rPr>
        <w:t>Rolling out e</w:t>
      </w:r>
      <w:r w:rsidR="003F156E" w:rsidRPr="00501C5F">
        <w:rPr>
          <w:color w:val="auto"/>
          <w:sz w:val="22"/>
          <w:szCs w:val="22"/>
        </w:rPr>
        <w:t xml:space="preserve">ducational campaigns for children, youth, elderly on general interest topics and relevant to each age category group such as topics improving digital skills, support to young people through informal education and promotion of vocational training, active aging for the elderly etc.; </w:t>
      </w:r>
    </w:p>
    <w:p w14:paraId="50563F0F" w14:textId="77777777" w:rsidR="003F156E" w:rsidRPr="0096702C" w:rsidRDefault="003F156E" w:rsidP="00EA610C">
      <w:pPr>
        <w:pStyle w:val="Default"/>
        <w:numPr>
          <w:ilvl w:val="0"/>
          <w:numId w:val="31"/>
        </w:numPr>
        <w:rPr>
          <w:color w:val="auto"/>
          <w:sz w:val="22"/>
          <w:szCs w:val="22"/>
        </w:rPr>
      </w:pPr>
      <w:r w:rsidRPr="0096702C">
        <w:rPr>
          <w:color w:val="auto"/>
          <w:sz w:val="22"/>
          <w:szCs w:val="22"/>
        </w:rPr>
        <w:t xml:space="preserve">Support for local civil society organisations to strengthen the positive narrative of civil society and counter disinformation, hate speech and digital harassment on social media platforms; </w:t>
      </w:r>
    </w:p>
    <w:p w14:paraId="17BDF4CC" w14:textId="77777777" w:rsidR="003F156E" w:rsidRPr="0096702C" w:rsidRDefault="003F156E" w:rsidP="00EA610C">
      <w:pPr>
        <w:pStyle w:val="Default"/>
        <w:numPr>
          <w:ilvl w:val="0"/>
          <w:numId w:val="31"/>
        </w:numPr>
        <w:rPr>
          <w:color w:val="auto"/>
          <w:sz w:val="22"/>
          <w:szCs w:val="22"/>
        </w:rPr>
      </w:pPr>
      <w:r w:rsidRPr="0096702C">
        <w:rPr>
          <w:color w:val="auto"/>
          <w:sz w:val="22"/>
          <w:szCs w:val="22"/>
        </w:rPr>
        <w:t>Supporting continuous learning and personal growth of local communities</w:t>
      </w:r>
      <w:r w:rsidR="00E50D06">
        <w:rPr>
          <w:color w:val="auto"/>
          <w:sz w:val="22"/>
          <w:szCs w:val="22"/>
        </w:rPr>
        <w:t>, as well citizens’ initiatives contributing</w:t>
      </w:r>
      <w:r w:rsidR="00E50D06" w:rsidRPr="00E50D06">
        <w:rPr>
          <w:color w:val="auto"/>
          <w:sz w:val="22"/>
          <w:szCs w:val="22"/>
        </w:rPr>
        <w:t xml:space="preserve"> to inclusive and sustainable local development</w:t>
      </w:r>
      <w:r w:rsidR="00E50D06">
        <w:rPr>
          <w:color w:val="auto"/>
          <w:sz w:val="22"/>
          <w:szCs w:val="22"/>
        </w:rPr>
        <w:t>;</w:t>
      </w:r>
    </w:p>
    <w:p w14:paraId="6D65017C" w14:textId="6C042D37" w:rsidR="003F156E" w:rsidRPr="009D23CB" w:rsidRDefault="00F175EB" w:rsidP="00EA610C">
      <w:pPr>
        <w:pStyle w:val="Default"/>
        <w:numPr>
          <w:ilvl w:val="0"/>
          <w:numId w:val="31"/>
        </w:numPr>
        <w:rPr>
          <w:color w:val="auto"/>
          <w:sz w:val="22"/>
          <w:szCs w:val="22"/>
        </w:rPr>
      </w:pPr>
      <w:r>
        <w:rPr>
          <w:color w:val="auto"/>
          <w:sz w:val="22"/>
          <w:szCs w:val="22"/>
        </w:rPr>
        <w:t>Improving</w:t>
      </w:r>
      <w:r w:rsidR="003F156E" w:rsidRPr="009D23CB">
        <w:rPr>
          <w:color w:val="auto"/>
          <w:sz w:val="22"/>
          <w:szCs w:val="22"/>
        </w:rPr>
        <w:t xml:space="preserve"> public perception, strengthen</w:t>
      </w:r>
      <w:r>
        <w:rPr>
          <w:color w:val="auto"/>
          <w:sz w:val="22"/>
          <w:szCs w:val="22"/>
        </w:rPr>
        <w:t>ing</w:t>
      </w:r>
      <w:r w:rsidR="003F156E" w:rsidRPr="009D23CB">
        <w:rPr>
          <w:color w:val="auto"/>
          <w:sz w:val="22"/>
          <w:szCs w:val="22"/>
        </w:rPr>
        <w:t xml:space="preserve"> relationships between</w:t>
      </w:r>
      <w:r w:rsidR="00EC6D58" w:rsidRPr="009D23CB">
        <w:rPr>
          <w:color w:val="auto"/>
          <w:sz w:val="22"/>
          <w:szCs w:val="22"/>
        </w:rPr>
        <w:t xml:space="preserve"> citizens, local civil society organis</w:t>
      </w:r>
      <w:r w:rsidR="003F156E" w:rsidRPr="009D23CB">
        <w:rPr>
          <w:color w:val="auto"/>
          <w:sz w:val="22"/>
          <w:szCs w:val="22"/>
        </w:rPr>
        <w:t xml:space="preserve">ations and </w:t>
      </w:r>
      <w:r w:rsidR="00EC6D58" w:rsidRPr="009D23CB">
        <w:rPr>
          <w:color w:val="auto"/>
          <w:sz w:val="22"/>
          <w:szCs w:val="22"/>
        </w:rPr>
        <w:t>public authorities</w:t>
      </w:r>
      <w:r w:rsidR="003F156E" w:rsidRPr="009D23CB">
        <w:rPr>
          <w:color w:val="auto"/>
          <w:sz w:val="22"/>
          <w:szCs w:val="22"/>
        </w:rPr>
        <w:t xml:space="preserve">, </w:t>
      </w:r>
      <w:r>
        <w:rPr>
          <w:color w:val="auto"/>
          <w:sz w:val="22"/>
          <w:szCs w:val="22"/>
        </w:rPr>
        <w:t xml:space="preserve">building trust, </w:t>
      </w:r>
      <w:r w:rsidR="003F156E" w:rsidRPr="009D23CB">
        <w:rPr>
          <w:color w:val="auto"/>
          <w:sz w:val="22"/>
          <w:szCs w:val="22"/>
        </w:rPr>
        <w:t>giving a voice to vul</w:t>
      </w:r>
      <w:r w:rsidR="00997F9E">
        <w:rPr>
          <w:color w:val="auto"/>
          <w:sz w:val="22"/>
          <w:szCs w:val="22"/>
        </w:rPr>
        <w:t>nerable and marginalised people</w:t>
      </w:r>
      <w:r w:rsidR="00282B12">
        <w:rPr>
          <w:color w:val="auto"/>
          <w:sz w:val="22"/>
          <w:szCs w:val="22"/>
        </w:rPr>
        <w:t>;</w:t>
      </w:r>
    </w:p>
    <w:p w14:paraId="592BA4D8" w14:textId="77777777" w:rsidR="005A6315" w:rsidRPr="0096702C" w:rsidRDefault="005A6315" w:rsidP="005A6315">
      <w:pPr>
        <w:pStyle w:val="Default"/>
        <w:ind w:left="720"/>
        <w:rPr>
          <w:color w:val="auto"/>
          <w:sz w:val="22"/>
          <w:szCs w:val="22"/>
          <w:u w:val="single"/>
        </w:rPr>
      </w:pPr>
    </w:p>
    <w:p w14:paraId="7A5FCC14" w14:textId="77777777" w:rsidR="005A4865" w:rsidRPr="0096702C" w:rsidRDefault="005A4865" w:rsidP="005A4865">
      <w:pPr>
        <w:autoSpaceDE w:val="0"/>
        <w:autoSpaceDN w:val="0"/>
        <w:adjustRightInd w:val="0"/>
        <w:spacing w:after="0"/>
        <w:rPr>
          <w:b/>
          <w:szCs w:val="22"/>
          <w:lang w:eastAsia="en-GB"/>
        </w:rPr>
      </w:pPr>
      <w:r w:rsidRPr="0096702C">
        <w:rPr>
          <w:b/>
          <w:szCs w:val="22"/>
          <w:u w:val="single"/>
          <w:lang w:eastAsia="en-GB"/>
        </w:rPr>
        <w:t>Lot 3:</w:t>
      </w:r>
      <w:r w:rsidRPr="0096702C">
        <w:rPr>
          <w:b/>
          <w:szCs w:val="22"/>
          <w:lang w:eastAsia="en-GB"/>
        </w:rPr>
        <w:t xml:space="preserve"> Enabling CSOs to meaningfully contribute to the strengthening of the child protection system in the Republic of Moldova in the context of EU accession process:</w:t>
      </w:r>
    </w:p>
    <w:p w14:paraId="482524C2" w14:textId="77777777" w:rsidR="005A6315" w:rsidRDefault="005A6315" w:rsidP="005A4865">
      <w:pPr>
        <w:pStyle w:val="Default"/>
        <w:jc w:val="both"/>
        <w:rPr>
          <w:color w:val="auto"/>
          <w:sz w:val="22"/>
          <w:szCs w:val="22"/>
          <w:u w:val="single"/>
        </w:rPr>
      </w:pPr>
    </w:p>
    <w:p w14:paraId="54000C4E" w14:textId="77777777" w:rsidR="005A4865" w:rsidRPr="0096702C" w:rsidRDefault="005A4865" w:rsidP="005A4865">
      <w:pPr>
        <w:pStyle w:val="Default"/>
        <w:jc w:val="both"/>
        <w:rPr>
          <w:color w:val="auto"/>
          <w:sz w:val="22"/>
          <w:szCs w:val="22"/>
          <w:u w:val="single"/>
        </w:rPr>
      </w:pPr>
      <w:r w:rsidRPr="0096702C">
        <w:rPr>
          <w:color w:val="auto"/>
          <w:sz w:val="22"/>
          <w:szCs w:val="22"/>
          <w:u w:val="single"/>
        </w:rPr>
        <w:t xml:space="preserve">Strengthening of governance, coordination and capacity of the child protection system: </w:t>
      </w:r>
    </w:p>
    <w:p w14:paraId="20E4E068" w14:textId="77777777" w:rsidR="005A4865" w:rsidRPr="0096702C" w:rsidRDefault="005A4865" w:rsidP="00EA610C">
      <w:pPr>
        <w:pStyle w:val="Default"/>
        <w:numPr>
          <w:ilvl w:val="0"/>
          <w:numId w:val="32"/>
        </w:numPr>
        <w:ind w:left="714" w:hanging="357"/>
        <w:jc w:val="both"/>
        <w:rPr>
          <w:color w:val="auto"/>
          <w:sz w:val="22"/>
          <w:szCs w:val="22"/>
        </w:rPr>
      </w:pPr>
      <w:r w:rsidRPr="0096702C">
        <w:rPr>
          <w:color w:val="auto"/>
          <w:sz w:val="22"/>
          <w:szCs w:val="22"/>
        </w:rPr>
        <w:t>Capacity building for local CSOs, including grassroots and specialised organisations, to enhance their role in monitoring, advocacy, service provision and policy dialogue within the child protection system;</w:t>
      </w:r>
    </w:p>
    <w:p w14:paraId="0781C7FB"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lastRenderedPageBreak/>
        <w:t>Support for local CSOs in legislative advocacy and policy review, ensuring their active involvement in the development, implementation, and monitoring of child protection laws and regulations in support of the National Child Protection Programme 2022-2026;</w:t>
      </w:r>
    </w:p>
    <w:p w14:paraId="18E1A5A1" w14:textId="77777777" w:rsidR="005A4865" w:rsidRPr="0096702C" w:rsidRDefault="005A4865" w:rsidP="00EA610C">
      <w:pPr>
        <w:pStyle w:val="Default"/>
        <w:numPr>
          <w:ilvl w:val="0"/>
          <w:numId w:val="32"/>
        </w:numPr>
        <w:jc w:val="both"/>
        <w:rPr>
          <w:color w:val="auto"/>
          <w:sz w:val="22"/>
          <w:szCs w:val="22"/>
        </w:rPr>
      </w:pPr>
      <w:r w:rsidRPr="0096702C">
        <w:rPr>
          <w:sz w:val="22"/>
          <w:szCs w:val="22"/>
        </w:rPr>
        <w:t xml:space="preserve">Strengthening the capacities of public authorities, child protection specialists and social workers, staff working in social and rehabilitation services for children with disabilities and special needs, </w:t>
      </w:r>
      <w:r w:rsidRPr="0096702C">
        <w:rPr>
          <w:color w:val="auto"/>
          <w:sz w:val="22"/>
          <w:szCs w:val="22"/>
        </w:rPr>
        <w:t>with a specific focus on rural and underserved areas, to strengthen their ability to identify, assess, and respond to child protection risks effectively; capacity building should ensure knowledge transfer from specialised and experienced CSOs and its integration into the training system and beyond;</w:t>
      </w:r>
    </w:p>
    <w:p w14:paraId="239BC2DE"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t>Support for strengthening community-based child protection networks, ensuring local actors (teachers, health workers, social workers, law enforcement, and faith-based organisations) are equipped to identify, prevent, and respond to risks faced by children in their communities;</w:t>
      </w:r>
    </w:p>
    <w:p w14:paraId="298F8D06"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t>Strengthening of evidence-based monitoring and case management systems to ensure continuous oversight, timely interventions, and personalised support tailored to the needs of children and families;</w:t>
      </w:r>
    </w:p>
    <w:p w14:paraId="0321F8DF"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t xml:space="preserve">Support for strengthening local and national coordination mechanisms between government agencies, CSOs, law enforcement, education, and healthcare sectors to ensure a holistic and multi-disciplinary approach to child protection; </w:t>
      </w:r>
    </w:p>
    <w:p w14:paraId="495546BF"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t xml:space="preserve">Awareness rising about children’s rights and protection mechanisms, including for children with disabilities and complex emotional needs, particularly in rural and marginalised communities, through targeted and inclusive campaigns. These efforts should inform families about child rights, positive parenting, social services, and available support programs. Additionally, they could address the prevention of gender-based violence, child labour, and online exploitation while promoting the </w:t>
      </w:r>
      <w:proofErr w:type="spellStart"/>
      <w:r w:rsidRPr="0096702C">
        <w:rPr>
          <w:color w:val="auto"/>
          <w:sz w:val="22"/>
          <w:szCs w:val="22"/>
        </w:rPr>
        <w:t>Telefonul</w:t>
      </w:r>
      <w:proofErr w:type="spellEnd"/>
      <w:r w:rsidRPr="0096702C">
        <w:rPr>
          <w:color w:val="auto"/>
          <w:sz w:val="22"/>
          <w:szCs w:val="22"/>
        </w:rPr>
        <w:t xml:space="preserve"> </w:t>
      </w:r>
      <w:proofErr w:type="spellStart"/>
      <w:r w:rsidRPr="0096702C">
        <w:rPr>
          <w:color w:val="auto"/>
          <w:sz w:val="22"/>
          <w:szCs w:val="22"/>
        </w:rPr>
        <w:t>Copilului</w:t>
      </w:r>
      <w:proofErr w:type="spellEnd"/>
      <w:r w:rsidRPr="0096702C">
        <w:rPr>
          <w:color w:val="auto"/>
          <w:sz w:val="22"/>
          <w:szCs w:val="22"/>
        </w:rPr>
        <w:t>.</w:t>
      </w:r>
    </w:p>
    <w:p w14:paraId="6787EF05" w14:textId="77777777" w:rsidR="005A4865" w:rsidRPr="0096702C" w:rsidRDefault="005A4865" w:rsidP="005A4865">
      <w:pPr>
        <w:pStyle w:val="Default"/>
        <w:ind w:left="714"/>
        <w:jc w:val="both"/>
        <w:rPr>
          <w:color w:val="auto"/>
          <w:sz w:val="22"/>
          <w:szCs w:val="22"/>
        </w:rPr>
      </w:pPr>
    </w:p>
    <w:p w14:paraId="64E9774B" w14:textId="77777777" w:rsidR="005A4865" w:rsidRPr="0096702C" w:rsidRDefault="005A4865" w:rsidP="005A4865">
      <w:pPr>
        <w:pStyle w:val="Default"/>
        <w:rPr>
          <w:color w:val="auto"/>
          <w:sz w:val="22"/>
          <w:szCs w:val="22"/>
          <w:u w:val="single"/>
        </w:rPr>
      </w:pPr>
      <w:r w:rsidRPr="0096702C">
        <w:rPr>
          <w:color w:val="auto"/>
          <w:sz w:val="22"/>
          <w:szCs w:val="22"/>
          <w:u w:val="single"/>
        </w:rPr>
        <w:t>Family support and prevention of child neglect, abuse and abandonment:</w:t>
      </w:r>
    </w:p>
    <w:p w14:paraId="6B926856"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t xml:space="preserve">Provision of comprehensive, tailored, and needs-based support to families and children at risk of separation to ensure family preservation and prevent institutionalisation. The support may include but is not limited to in-kind support, voucher and financial support, referrals, counselling, socio-economic empowerment, counselling and rehabilitation for parents and </w:t>
      </w:r>
      <w:proofErr w:type="gramStart"/>
      <w:r w:rsidRPr="0096702C">
        <w:rPr>
          <w:color w:val="auto"/>
          <w:sz w:val="22"/>
          <w:szCs w:val="22"/>
        </w:rPr>
        <w:t>children</w:t>
      </w:r>
      <w:proofErr w:type="gramEnd"/>
      <w:r w:rsidRPr="0096702C">
        <w:rPr>
          <w:color w:val="auto"/>
          <w:sz w:val="22"/>
          <w:szCs w:val="22"/>
        </w:rPr>
        <w:t xml:space="preserve"> consumers of alcohol;  </w:t>
      </w:r>
    </w:p>
    <w:p w14:paraId="6AB9A141"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t xml:space="preserve">Development and implementation of parent education programmes to equip caregivers with the knowledge and skills needed to provide a safe and nurturing environment for their children. These programs may include parenting schools for structured training on child development and positive discipline, workshops and peer support groups for experience sharing and professional guidance, as well as targeted interventions for high-risk families such as teenage parents, single caregivers, and those affected by migration and separation; </w:t>
      </w:r>
    </w:p>
    <w:p w14:paraId="6E6C17BF"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t xml:space="preserve">Provision of extracurricular activities for at-risk children to support their social inclusion, personal development, and well-being. These activities could be accompanied by a hot meal and may include arts, music, sports, catch-up classes for children who have missed school, and life skills courses such as English, IT, and financial literacy; </w:t>
      </w:r>
    </w:p>
    <w:p w14:paraId="43D7F21F" w14:textId="77777777" w:rsidR="005A4865" w:rsidRPr="0096702C" w:rsidRDefault="005A4865" w:rsidP="00EA610C">
      <w:pPr>
        <w:pStyle w:val="Default"/>
        <w:numPr>
          <w:ilvl w:val="0"/>
          <w:numId w:val="32"/>
        </w:numPr>
        <w:jc w:val="both"/>
        <w:rPr>
          <w:color w:val="auto"/>
          <w:sz w:val="22"/>
          <w:szCs w:val="22"/>
        </w:rPr>
      </w:pPr>
      <w:r w:rsidRPr="0096702C">
        <w:rPr>
          <w:color w:val="auto"/>
          <w:sz w:val="22"/>
          <w:szCs w:val="22"/>
        </w:rPr>
        <w:t xml:space="preserve">Development of specialised assistance and rehabilitation services for </w:t>
      </w:r>
      <w:proofErr w:type="gramStart"/>
      <w:r w:rsidRPr="0096702C">
        <w:rPr>
          <w:color w:val="auto"/>
          <w:sz w:val="22"/>
          <w:szCs w:val="22"/>
        </w:rPr>
        <w:t>children</w:t>
      </w:r>
      <w:proofErr w:type="gramEnd"/>
      <w:r w:rsidRPr="0096702C">
        <w:rPr>
          <w:color w:val="auto"/>
          <w:sz w:val="22"/>
          <w:szCs w:val="22"/>
        </w:rPr>
        <w:t xml:space="preserve"> victims and witnesses of violence, children aggressors, children in conflict with law, children with deviant behaviour. </w:t>
      </w:r>
    </w:p>
    <w:p w14:paraId="4E70734A" w14:textId="77777777" w:rsidR="005A4865" w:rsidRPr="0096702C" w:rsidRDefault="005A4865" w:rsidP="005A4865">
      <w:pPr>
        <w:pStyle w:val="Default"/>
        <w:ind w:left="357"/>
        <w:jc w:val="both"/>
        <w:rPr>
          <w:color w:val="auto"/>
          <w:sz w:val="22"/>
          <w:szCs w:val="22"/>
        </w:rPr>
      </w:pPr>
    </w:p>
    <w:p w14:paraId="4B03CA87" w14:textId="77777777" w:rsidR="005A4865" w:rsidRPr="0096702C" w:rsidRDefault="005A4865" w:rsidP="005A4865">
      <w:pPr>
        <w:pStyle w:val="Default"/>
        <w:jc w:val="both"/>
        <w:rPr>
          <w:color w:val="auto"/>
          <w:sz w:val="22"/>
          <w:szCs w:val="22"/>
        </w:rPr>
      </w:pPr>
      <w:r w:rsidRPr="0096702C">
        <w:rPr>
          <w:color w:val="auto"/>
          <w:sz w:val="22"/>
          <w:szCs w:val="22"/>
          <w:u w:val="single"/>
        </w:rPr>
        <w:t xml:space="preserve">Deinstitutionalisation and alternative family-based care: </w:t>
      </w:r>
    </w:p>
    <w:p w14:paraId="6B7D856A" w14:textId="77777777" w:rsidR="005A4865" w:rsidRPr="0096702C" w:rsidRDefault="005A4865" w:rsidP="00EA610C">
      <w:pPr>
        <w:numPr>
          <w:ilvl w:val="0"/>
          <w:numId w:val="32"/>
        </w:numPr>
        <w:spacing w:after="0"/>
        <w:rPr>
          <w:szCs w:val="22"/>
        </w:rPr>
      </w:pPr>
      <w:r w:rsidRPr="0096702C">
        <w:rPr>
          <w:szCs w:val="22"/>
        </w:rPr>
        <w:t>Development and support of alternative family-based care services;</w:t>
      </w:r>
    </w:p>
    <w:p w14:paraId="497434AF" w14:textId="77777777" w:rsidR="005A4865" w:rsidRPr="0096702C" w:rsidRDefault="005A4865" w:rsidP="00EA610C">
      <w:pPr>
        <w:numPr>
          <w:ilvl w:val="0"/>
          <w:numId w:val="32"/>
        </w:numPr>
        <w:spacing w:after="0"/>
        <w:rPr>
          <w:szCs w:val="22"/>
        </w:rPr>
      </w:pPr>
      <w:r w:rsidRPr="0096702C">
        <w:rPr>
          <w:szCs w:val="22"/>
        </w:rPr>
        <w:t>Facilitation of reintegration of children into family-based care by providing tailored, needs-based support to families and caregivers;</w:t>
      </w:r>
    </w:p>
    <w:p w14:paraId="0A15FD1D" w14:textId="77777777" w:rsidR="005A4865" w:rsidRPr="0096702C" w:rsidRDefault="005A4865" w:rsidP="00EA610C">
      <w:pPr>
        <w:numPr>
          <w:ilvl w:val="0"/>
          <w:numId w:val="32"/>
        </w:numPr>
        <w:spacing w:after="0"/>
        <w:rPr>
          <w:szCs w:val="22"/>
        </w:rPr>
      </w:pPr>
      <w:r w:rsidRPr="0096702C">
        <w:rPr>
          <w:szCs w:val="22"/>
        </w:rPr>
        <w:t xml:space="preserve">Development of specialised services to prevent the institutionalisation of children with disabilities, including but not limited to educational support services, assistive technologies, therapy, rehabilitation programmes, and respite care for families and caregivers;  </w:t>
      </w:r>
    </w:p>
    <w:p w14:paraId="089BE55B" w14:textId="77777777" w:rsidR="005A4865" w:rsidRDefault="005A4865" w:rsidP="00EA610C">
      <w:pPr>
        <w:numPr>
          <w:ilvl w:val="0"/>
          <w:numId w:val="32"/>
        </w:numPr>
        <w:spacing w:after="0"/>
        <w:rPr>
          <w:szCs w:val="22"/>
        </w:rPr>
      </w:pPr>
      <w:r w:rsidRPr="0096702C">
        <w:rPr>
          <w:szCs w:val="22"/>
        </w:rPr>
        <w:t>Development of specialised services for children with complex emotional needs, including but not limited to educational support services, assistive technologies, therapy, rehabilitation programmes, and respite ca</w:t>
      </w:r>
      <w:r>
        <w:rPr>
          <w:szCs w:val="22"/>
        </w:rPr>
        <w:t>re for families and caregivers;</w:t>
      </w:r>
    </w:p>
    <w:p w14:paraId="5FBA80CA" w14:textId="77777777" w:rsidR="005A4865" w:rsidRPr="0096702C" w:rsidRDefault="005A4865" w:rsidP="00EA610C">
      <w:pPr>
        <w:numPr>
          <w:ilvl w:val="0"/>
          <w:numId w:val="32"/>
        </w:numPr>
        <w:spacing w:after="0"/>
        <w:rPr>
          <w:szCs w:val="22"/>
        </w:rPr>
      </w:pPr>
      <w:r w:rsidRPr="0096702C">
        <w:rPr>
          <w:szCs w:val="22"/>
        </w:rPr>
        <w:t>Support the transition for young people (18+) leaving institutions by providing vocational training, mentorship, life skills development, access to affordable housing, and financial literacy programmes to help them achieve in</w:t>
      </w:r>
      <w:r>
        <w:rPr>
          <w:szCs w:val="22"/>
        </w:rPr>
        <w:t>dependence and social inclusion.</w:t>
      </w:r>
    </w:p>
    <w:p w14:paraId="10EBB015" w14:textId="77777777" w:rsidR="00404182" w:rsidRPr="00807DAF" w:rsidRDefault="00404182" w:rsidP="00F36C74">
      <w:pPr>
        <w:spacing w:after="120" w:line="240" w:lineRule="atLeast"/>
        <w:rPr>
          <w:szCs w:val="22"/>
          <w:u w:val="single"/>
        </w:rPr>
      </w:pPr>
    </w:p>
    <w:p w14:paraId="0D18C712" w14:textId="77777777" w:rsidR="00B522D3" w:rsidRDefault="00B522D3" w:rsidP="00F36C74">
      <w:pPr>
        <w:spacing w:after="120" w:line="240" w:lineRule="atLeast"/>
        <w:rPr>
          <w:b/>
          <w:bCs/>
          <w:szCs w:val="22"/>
        </w:rPr>
      </w:pPr>
    </w:p>
    <w:p w14:paraId="3CCEE248" w14:textId="56F4EC44" w:rsidR="0023018A" w:rsidRPr="001B7D50" w:rsidRDefault="00266BD4" w:rsidP="00F36C74">
      <w:pPr>
        <w:spacing w:after="120" w:line="240" w:lineRule="atLeast"/>
        <w:rPr>
          <w:b/>
          <w:bCs/>
          <w:szCs w:val="22"/>
        </w:rPr>
      </w:pPr>
      <w:r w:rsidRPr="001B7D50">
        <w:rPr>
          <w:b/>
          <w:bCs/>
          <w:szCs w:val="22"/>
        </w:rPr>
        <w:lastRenderedPageBreak/>
        <w:t>Financial support to third parties</w:t>
      </w:r>
      <w:r w:rsidR="0023018A" w:rsidRPr="001B7D50">
        <w:rPr>
          <w:b/>
          <w:bCs/>
          <w:szCs w:val="22"/>
        </w:rPr>
        <w:t xml:space="preserve"> </w:t>
      </w:r>
    </w:p>
    <w:p w14:paraId="0D395D57" w14:textId="77777777" w:rsidR="001A2107" w:rsidRPr="00106201" w:rsidRDefault="001A2107" w:rsidP="001A2107">
      <w:r w:rsidRPr="00106201">
        <w:rPr>
          <w:szCs w:val="22"/>
        </w:rPr>
        <w:t>Applicants shall propose financial support to third parties in order to help achieving the objectives of the</w:t>
      </w:r>
      <w:r>
        <w:rPr>
          <w:szCs w:val="22"/>
        </w:rPr>
        <w:t xml:space="preserve"> </w:t>
      </w:r>
      <w:r w:rsidRPr="00106201">
        <w:rPr>
          <w:szCs w:val="22"/>
        </w:rPr>
        <w:t>action</w:t>
      </w:r>
      <w:r>
        <w:rPr>
          <w:szCs w:val="22"/>
        </w:rPr>
        <w:t>.</w:t>
      </w:r>
    </w:p>
    <w:p w14:paraId="703537A4" w14:textId="77777777" w:rsidR="00B60AEA" w:rsidRPr="00BA6979" w:rsidRDefault="00B60AEA" w:rsidP="00B60AEA">
      <w:pPr>
        <w:spacing w:after="120" w:line="240" w:lineRule="atLeast"/>
        <w:rPr>
          <w:szCs w:val="22"/>
        </w:rPr>
      </w:pPr>
      <w:r w:rsidRPr="0085307F">
        <w:t xml:space="preserve">The financial support to third parties planned in this Call will allow smaller organisations to develop their capacities, influence and strengthen the dialogue </w:t>
      </w:r>
      <w:r>
        <w:t xml:space="preserve">with national authorities in the context of the country’s EU accession process </w:t>
      </w:r>
      <w:r w:rsidRPr="0085307F">
        <w:t xml:space="preserve">and participation in decision-making between civil society and </w:t>
      </w:r>
      <w:r>
        <w:t xml:space="preserve">public </w:t>
      </w:r>
      <w:r w:rsidRPr="0085307F">
        <w:t>authorities both</w:t>
      </w:r>
      <w:r>
        <w:t xml:space="preserve"> at</w:t>
      </w:r>
      <w:r w:rsidRPr="0085307F">
        <w:t xml:space="preserve"> local and national</w:t>
      </w:r>
      <w:r>
        <w:t xml:space="preserve"> level.</w:t>
      </w:r>
    </w:p>
    <w:p w14:paraId="5578A9E2" w14:textId="77777777" w:rsidR="00B60AEA" w:rsidRDefault="007E1BE2" w:rsidP="00F36C74">
      <w:pPr>
        <w:spacing w:after="120" w:line="240" w:lineRule="atLeast"/>
        <w:rPr>
          <w:szCs w:val="22"/>
        </w:rPr>
      </w:pPr>
      <w:r w:rsidRPr="00ED7CB2">
        <w:t xml:space="preserve">The maximum amount of </w:t>
      </w:r>
      <w:r w:rsidR="003477DE" w:rsidRPr="00ED7CB2">
        <w:t>financial support</w:t>
      </w:r>
      <w:r w:rsidRPr="00ED7CB2">
        <w:t xml:space="preserve"> </w:t>
      </w:r>
      <w:r w:rsidR="00A07623" w:rsidRPr="00ED7CB2">
        <w:t xml:space="preserve">per third party </w:t>
      </w:r>
      <w:r w:rsidRPr="00B723AF">
        <w:t xml:space="preserve">is </w:t>
      </w:r>
      <w:r w:rsidR="0006470D" w:rsidRPr="00B723AF">
        <w:t>EUR</w:t>
      </w:r>
      <w:r w:rsidRPr="00B723AF">
        <w:t xml:space="preserve"> </w:t>
      </w:r>
      <w:r w:rsidRPr="00BA6979">
        <w:t>60 000 except where</w:t>
      </w:r>
      <w:r w:rsidR="008E179D" w:rsidRPr="00BA6979">
        <w:t xml:space="preserve"> achieving the objectives of the actions would otherwise be impossible or overly difficult</w:t>
      </w:r>
      <w:r w:rsidR="00ED7CB2" w:rsidRPr="00BA6979">
        <w:t>,</w:t>
      </w:r>
      <w:r w:rsidR="008E179D" w:rsidRPr="00BA6979">
        <w:t xml:space="preserve"> </w:t>
      </w:r>
      <w:r w:rsidR="00517ECD" w:rsidRPr="00BA6979">
        <w:t xml:space="preserve">in which case </w:t>
      </w:r>
      <w:r w:rsidR="00ED7CB2" w:rsidRPr="00BA6979">
        <w:t>this</w:t>
      </w:r>
      <w:r w:rsidR="00517ECD" w:rsidRPr="00BA6979">
        <w:t xml:space="preserve"> threshold </w:t>
      </w:r>
      <w:r w:rsidR="00ED7CB2" w:rsidRPr="00BA6979">
        <w:t xml:space="preserve">can be exceeded. </w:t>
      </w:r>
      <w:r w:rsidR="00ED7CB2" w:rsidRPr="00BA6979">
        <w:rPr>
          <w:szCs w:val="22"/>
        </w:rPr>
        <w:t>A</w:t>
      </w:r>
      <w:r w:rsidR="009B6884" w:rsidRPr="00BA6979">
        <w:rPr>
          <w:szCs w:val="22"/>
        </w:rPr>
        <w:t xml:space="preserve"> threshold below EUR 60 000 can be set if appropriate</w:t>
      </w:r>
      <w:r w:rsidR="00ED7CB2" w:rsidRPr="00BA6979">
        <w:rPr>
          <w:szCs w:val="22"/>
        </w:rPr>
        <w:t>.</w:t>
      </w:r>
      <w:r w:rsidR="00B60AEA">
        <w:rPr>
          <w:szCs w:val="22"/>
        </w:rPr>
        <w:t xml:space="preserve"> </w:t>
      </w:r>
    </w:p>
    <w:p w14:paraId="640B06B9" w14:textId="77777777" w:rsidR="00700AF2" w:rsidRPr="00BD7F0D" w:rsidRDefault="00700AF2" w:rsidP="00F36C74">
      <w:pPr>
        <w:spacing w:after="120" w:line="240" w:lineRule="atLeast"/>
        <w:rPr>
          <w:szCs w:val="22"/>
        </w:rPr>
      </w:pPr>
      <w:r w:rsidRPr="00807DAF">
        <w:rPr>
          <w:szCs w:val="22"/>
        </w:rPr>
        <w:t xml:space="preserve">In compliance with the present guidelines and notably of any conditions or restrictions </w:t>
      </w:r>
      <w:r w:rsidR="00F72D70" w:rsidRPr="00807DAF">
        <w:rPr>
          <w:szCs w:val="22"/>
        </w:rPr>
        <w:t xml:space="preserve">in this </w:t>
      </w:r>
      <w:r w:rsidR="00853E40">
        <w:rPr>
          <w:szCs w:val="22"/>
        </w:rPr>
        <w:t>S</w:t>
      </w:r>
      <w:r w:rsidR="00F72D70" w:rsidRPr="00807DAF">
        <w:rPr>
          <w:szCs w:val="22"/>
        </w:rPr>
        <w:t>ection</w:t>
      </w:r>
      <w:r w:rsidRPr="00807DAF">
        <w:rPr>
          <w:szCs w:val="22"/>
        </w:rPr>
        <w:t>,</w:t>
      </w:r>
      <w:r w:rsidR="00F72E51">
        <w:rPr>
          <w:szCs w:val="22"/>
        </w:rPr>
        <w:t xml:space="preserve"> the</w:t>
      </w:r>
      <w:r w:rsidRPr="00807DAF">
        <w:rPr>
          <w:szCs w:val="22"/>
        </w:rPr>
        <w:t xml:space="preserve"> </w:t>
      </w:r>
      <w:r w:rsidR="00B114D9">
        <w:rPr>
          <w:szCs w:val="22"/>
        </w:rPr>
        <w:t xml:space="preserve">lead </w:t>
      </w:r>
      <w:r w:rsidRPr="00807DAF">
        <w:rPr>
          <w:szCs w:val="22"/>
        </w:rPr>
        <w:t>applicant sh</w:t>
      </w:r>
      <w:r w:rsidR="0002374A" w:rsidRPr="00807DAF">
        <w:rPr>
          <w:szCs w:val="22"/>
        </w:rPr>
        <w:t>ould</w:t>
      </w:r>
      <w:r w:rsidRPr="00807DAF">
        <w:rPr>
          <w:szCs w:val="22"/>
        </w:rPr>
        <w:t xml:space="preserve"> define mandatorily in </w:t>
      </w:r>
      <w:r w:rsidR="000D7ACD">
        <w:rPr>
          <w:szCs w:val="22"/>
        </w:rPr>
        <w:t>S</w:t>
      </w:r>
      <w:r w:rsidRPr="00807DAF">
        <w:rPr>
          <w:szCs w:val="22"/>
        </w:rPr>
        <w:t xml:space="preserve">ection 2.1.1 of </w:t>
      </w:r>
      <w:r w:rsidR="00562215">
        <w:rPr>
          <w:szCs w:val="22"/>
        </w:rPr>
        <w:t xml:space="preserve">Annex </w:t>
      </w:r>
      <w:r w:rsidR="00692561">
        <w:rPr>
          <w:szCs w:val="22"/>
        </w:rPr>
        <w:t>a</w:t>
      </w:r>
      <w:r w:rsidR="00562215">
        <w:rPr>
          <w:szCs w:val="22"/>
        </w:rPr>
        <w:t>.</w:t>
      </w:r>
      <w:r w:rsidR="00562215" w:rsidRPr="00BD7F0D">
        <w:rPr>
          <w:szCs w:val="22"/>
        </w:rPr>
        <w:t>2</w:t>
      </w:r>
      <w:r w:rsidR="003859ED" w:rsidRPr="00BA6979">
        <w:rPr>
          <w:szCs w:val="22"/>
        </w:rPr>
        <w:t xml:space="preserve"> (Grant application form </w:t>
      </w:r>
      <w:r w:rsidR="003859ED" w:rsidRPr="00A84207">
        <w:rPr>
          <w:szCs w:val="22"/>
        </w:rPr>
        <w:t>–</w:t>
      </w:r>
      <w:r w:rsidR="003859ED" w:rsidRPr="00BA6979">
        <w:rPr>
          <w:szCs w:val="22"/>
        </w:rPr>
        <w:t xml:space="preserve"> Full application)</w:t>
      </w:r>
      <w:r w:rsidRPr="00BD7F0D">
        <w:rPr>
          <w:szCs w:val="22"/>
        </w:rPr>
        <w:t xml:space="preserve">: </w:t>
      </w:r>
    </w:p>
    <w:p w14:paraId="160DC7A5" w14:textId="77777777" w:rsidR="00700AF2" w:rsidRPr="00807DAF" w:rsidRDefault="00700AF2" w:rsidP="00EA610C">
      <w:pPr>
        <w:numPr>
          <w:ilvl w:val="0"/>
          <w:numId w:val="19"/>
        </w:numPr>
        <w:tabs>
          <w:tab w:val="left" w:pos="851"/>
        </w:tabs>
        <w:spacing w:after="120" w:line="240" w:lineRule="atLeast"/>
        <w:ind w:left="851" w:hanging="425"/>
        <w:rPr>
          <w:szCs w:val="22"/>
        </w:rPr>
      </w:pPr>
      <w:r w:rsidRPr="00807DAF">
        <w:rPr>
          <w:szCs w:val="22"/>
        </w:rPr>
        <w:t xml:space="preserve">the </w:t>
      </w:r>
      <w:r w:rsidR="00247941">
        <w:rPr>
          <w:szCs w:val="22"/>
        </w:rPr>
        <w:t xml:space="preserve">overall </w:t>
      </w:r>
      <w:r w:rsidR="00247941" w:rsidRPr="00807DAF">
        <w:rPr>
          <w:szCs w:val="22"/>
        </w:rPr>
        <w:t>objectives</w:t>
      </w:r>
      <w:r w:rsidR="00247941">
        <w:rPr>
          <w:szCs w:val="22"/>
        </w:rPr>
        <w:t>, the specific objective(s) and the outputs</w:t>
      </w:r>
      <w:r w:rsidR="00247941">
        <w:rPr>
          <w:rStyle w:val="Funotenzeichen"/>
          <w:szCs w:val="22"/>
        </w:rPr>
        <w:footnoteReference w:id="14"/>
      </w:r>
      <w:r w:rsidR="00247941">
        <w:rPr>
          <w:szCs w:val="22"/>
        </w:rPr>
        <w:t xml:space="preserve"> (</w:t>
      </w:r>
      <w:proofErr w:type="gramStart"/>
      <w:r w:rsidR="00247941">
        <w:rPr>
          <w:szCs w:val="22"/>
        </w:rPr>
        <w:t>i.e.</w:t>
      </w:r>
      <w:proofErr w:type="gramEnd"/>
      <w:r w:rsidR="00247941">
        <w:rPr>
          <w:szCs w:val="22"/>
        </w:rPr>
        <w:t xml:space="preserve"> the </w:t>
      </w:r>
      <w:r w:rsidR="00247941" w:rsidRPr="00807DAF">
        <w:rPr>
          <w:szCs w:val="22"/>
        </w:rPr>
        <w:t>results</w:t>
      </w:r>
      <w:r w:rsidR="00247941">
        <w:rPr>
          <w:szCs w:val="22"/>
        </w:rPr>
        <w:t>)</w:t>
      </w:r>
      <w:r w:rsidR="00247941" w:rsidRPr="00807DAF">
        <w:rPr>
          <w:szCs w:val="22"/>
        </w:rPr>
        <w:t xml:space="preserve"> to be </w:t>
      </w:r>
      <w:r w:rsidR="00247941">
        <w:rPr>
          <w:szCs w:val="22"/>
        </w:rPr>
        <w:t xml:space="preserve">achieved </w:t>
      </w:r>
      <w:r w:rsidRPr="00807DAF">
        <w:rPr>
          <w:szCs w:val="22"/>
        </w:rPr>
        <w:t>with the financial support</w:t>
      </w:r>
      <w:r w:rsidR="0045119A">
        <w:rPr>
          <w:szCs w:val="22"/>
        </w:rPr>
        <w:t>;</w:t>
      </w:r>
      <w:r w:rsidRPr="00807DAF">
        <w:rPr>
          <w:szCs w:val="22"/>
        </w:rPr>
        <w:t xml:space="preserve"> </w:t>
      </w:r>
    </w:p>
    <w:p w14:paraId="29B0AFA7" w14:textId="77777777" w:rsidR="00700AF2" w:rsidRPr="00807DAF" w:rsidRDefault="00700AF2" w:rsidP="00EA610C">
      <w:pPr>
        <w:numPr>
          <w:ilvl w:val="0"/>
          <w:numId w:val="19"/>
        </w:numPr>
        <w:tabs>
          <w:tab w:val="left" w:pos="851"/>
        </w:tabs>
        <w:spacing w:after="120" w:line="240" w:lineRule="atLeast"/>
        <w:ind w:left="851" w:hanging="425"/>
        <w:rPr>
          <w:szCs w:val="22"/>
        </w:rPr>
      </w:pPr>
      <w:r w:rsidRPr="00807DAF">
        <w:rPr>
          <w:szCs w:val="22"/>
        </w:rPr>
        <w:t>the different types of activities eligible for financial support, on the basis of a fixed list</w:t>
      </w:r>
      <w:r w:rsidR="0045119A">
        <w:rPr>
          <w:szCs w:val="22"/>
        </w:rPr>
        <w:t>;</w:t>
      </w:r>
      <w:r w:rsidRPr="00807DAF">
        <w:rPr>
          <w:szCs w:val="22"/>
        </w:rPr>
        <w:t xml:space="preserve"> </w:t>
      </w:r>
    </w:p>
    <w:p w14:paraId="7A4F61AC" w14:textId="77777777" w:rsidR="00700AF2" w:rsidRPr="00807DAF" w:rsidRDefault="00700AF2" w:rsidP="00EA610C">
      <w:pPr>
        <w:numPr>
          <w:ilvl w:val="0"/>
          <w:numId w:val="19"/>
        </w:numPr>
        <w:tabs>
          <w:tab w:val="left" w:pos="851"/>
        </w:tabs>
        <w:spacing w:after="120" w:line="240" w:lineRule="atLeast"/>
        <w:ind w:left="851" w:hanging="425"/>
        <w:rPr>
          <w:szCs w:val="22"/>
        </w:rPr>
      </w:pPr>
      <w:r w:rsidRPr="00807DAF">
        <w:rPr>
          <w:szCs w:val="22"/>
        </w:rPr>
        <w:t>the types of persons or categories of persons which may receive financial support</w:t>
      </w:r>
      <w:r w:rsidR="0045119A">
        <w:rPr>
          <w:szCs w:val="22"/>
        </w:rPr>
        <w:t>;</w:t>
      </w:r>
      <w:r w:rsidRPr="00807DAF">
        <w:rPr>
          <w:szCs w:val="22"/>
        </w:rPr>
        <w:t xml:space="preserve">  </w:t>
      </w:r>
    </w:p>
    <w:p w14:paraId="5262F2AD" w14:textId="77777777" w:rsidR="00700AF2" w:rsidRPr="00807DAF" w:rsidRDefault="00700AF2" w:rsidP="00F36C74">
      <w:pPr>
        <w:tabs>
          <w:tab w:val="left" w:pos="851"/>
        </w:tabs>
        <w:spacing w:after="120" w:line="240" w:lineRule="atLeast"/>
        <w:ind w:left="851" w:hanging="425"/>
        <w:rPr>
          <w:szCs w:val="22"/>
        </w:rPr>
      </w:pPr>
      <w:r w:rsidRPr="00807DAF">
        <w:rPr>
          <w:szCs w:val="22"/>
        </w:rPr>
        <w:t>(iv)</w:t>
      </w:r>
      <w:r w:rsidR="00D97BE7" w:rsidRPr="00807DAF">
        <w:rPr>
          <w:szCs w:val="22"/>
        </w:rPr>
        <w:tab/>
      </w:r>
      <w:r w:rsidRPr="00807DAF">
        <w:rPr>
          <w:szCs w:val="22"/>
        </w:rPr>
        <w:t>the criteria for selecting these entities and giving the financial support</w:t>
      </w:r>
      <w:r w:rsidR="0045119A">
        <w:rPr>
          <w:szCs w:val="22"/>
        </w:rPr>
        <w:t>;</w:t>
      </w:r>
      <w:r w:rsidRPr="00807DAF">
        <w:rPr>
          <w:szCs w:val="22"/>
        </w:rPr>
        <w:t xml:space="preserve">  </w:t>
      </w:r>
    </w:p>
    <w:p w14:paraId="3904C5F8" w14:textId="77777777" w:rsidR="00700AF2" w:rsidRPr="00807DAF" w:rsidRDefault="00700AF2" w:rsidP="00EA610C">
      <w:pPr>
        <w:numPr>
          <w:ilvl w:val="0"/>
          <w:numId w:val="20"/>
        </w:numPr>
        <w:tabs>
          <w:tab w:val="left" w:pos="851"/>
        </w:tabs>
        <w:spacing w:after="120" w:line="240" w:lineRule="atLeast"/>
        <w:ind w:left="851" w:hanging="425"/>
        <w:rPr>
          <w:szCs w:val="22"/>
        </w:rPr>
      </w:pPr>
      <w:r w:rsidRPr="00807DAF">
        <w:rPr>
          <w:szCs w:val="22"/>
        </w:rPr>
        <w:t>the criteria for determining the exact amount of financial support for each third entity</w:t>
      </w:r>
      <w:r w:rsidR="0045119A">
        <w:rPr>
          <w:szCs w:val="22"/>
        </w:rPr>
        <w:t>;</w:t>
      </w:r>
      <w:r w:rsidRPr="00807DAF">
        <w:rPr>
          <w:szCs w:val="22"/>
        </w:rPr>
        <w:t xml:space="preserve"> and </w:t>
      </w:r>
    </w:p>
    <w:p w14:paraId="072B7CE2" w14:textId="77777777" w:rsidR="00700AF2" w:rsidRPr="00807DAF" w:rsidRDefault="00700AF2" w:rsidP="00EA610C">
      <w:pPr>
        <w:numPr>
          <w:ilvl w:val="0"/>
          <w:numId w:val="20"/>
        </w:numPr>
        <w:tabs>
          <w:tab w:val="left" w:pos="851"/>
        </w:tabs>
        <w:spacing w:after="120" w:line="240" w:lineRule="atLeast"/>
        <w:ind w:left="851" w:hanging="425"/>
        <w:rPr>
          <w:szCs w:val="22"/>
        </w:rPr>
      </w:pPr>
      <w:r w:rsidRPr="00807DAF">
        <w:rPr>
          <w:szCs w:val="22"/>
        </w:rPr>
        <w:t>the maximum amount which may be given.</w:t>
      </w:r>
    </w:p>
    <w:p w14:paraId="2A62B003" w14:textId="77777777" w:rsidR="00517ECD" w:rsidRPr="00807DAF" w:rsidRDefault="00700AF2" w:rsidP="00F36C74">
      <w:pPr>
        <w:spacing w:after="120" w:line="240" w:lineRule="atLeast"/>
        <w:rPr>
          <w:szCs w:val="22"/>
          <w:u w:val="single"/>
        </w:rPr>
      </w:pPr>
      <w:r w:rsidRPr="00807DAF">
        <w:rPr>
          <w:szCs w:val="22"/>
          <w:u w:val="single"/>
        </w:rPr>
        <w:t>In all events, the mandatory conditions set above for giving financial support (points (</w:t>
      </w:r>
      <w:proofErr w:type="spellStart"/>
      <w:r w:rsidRPr="00807DAF">
        <w:rPr>
          <w:szCs w:val="22"/>
          <w:u w:val="single"/>
        </w:rPr>
        <w:t>i</w:t>
      </w:r>
      <w:proofErr w:type="spellEnd"/>
      <w:r w:rsidRPr="00807DAF">
        <w:rPr>
          <w:szCs w:val="22"/>
          <w:u w:val="single"/>
        </w:rPr>
        <w:t>) to (vi)) have to be strictly defined in the</w:t>
      </w:r>
      <w:r w:rsidR="00A155DA">
        <w:rPr>
          <w:szCs w:val="22"/>
          <w:u w:val="single"/>
        </w:rPr>
        <w:t xml:space="preserve"> </w:t>
      </w:r>
      <w:r w:rsidR="003B254C">
        <w:rPr>
          <w:szCs w:val="22"/>
          <w:u w:val="single"/>
        </w:rPr>
        <w:t>g</w:t>
      </w:r>
      <w:r w:rsidR="00A155DA">
        <w:rPr>
          <w:szCs w:val="22"/>
          <w:u w:val="single"/>
        </w:rPr>
        <w:t xml:space="preserve">rant </w:t>
      </w:r>
      <w:r w:rsidR="003B254C">
        <w:rPr>
          <w:szCs w:val="22"/>
          <w:u w:val="single"/>
        </w:rPr>
        <w:t>c</w:t>
      </w:r>
      <w:r w:rsidRPr="00807DAF">
        <w:rPr>
          <w:szCs w:val="22"/>
          <w:u w:val="single"/>
        </w:rPr>
        <w:t xml:space="preserve">ontract as to avoid any exercise </w:t>
      </w:r>
      <w:r w:rsidRPr="0061511C">
        <w:rPr>
          <w:szCs w:val="22"/>
          <w:u w:val="single"/>
        </w:rPr>
        <w:t>of discretion.</w:t>
      </w:r>
    </w:p>
    <w:p w14:paraId="270728A0" w14:textId="77777777" w:rsidR="0045119A" w:rsidRPr="001B7D50" w:rsidRDefault="00910B7F" w:rsidP="00F36C74">
      <w:pPr>
        <w:spacing w:after="120" w:line="240" w:lineRule="atLeast"/>
        <w:rPr>
          <w:szCs w:val="22"/>
        </w:rPr>
      </w:pPr>
      <w:bookmarkStart w:id="25" w:name="_Hlk163805794"/>
      <w:bookmarkStart w:id="26" w:name="_Hlk163812486"/>
      <w:r>
        <w:rPr>
          <w:szCs w:val="22"/>
        </w:rPr>
        <w:t>Recipients of financial support cannot be de</w:t>
      </w:r>
      <w:r w:rsidR="00CE6CFB">
        <w:rPr>
          <w:szCs w:val="22"/>
        </w:rPr>
        <w:t>signated</w:t>
      </w:r>
      <w:r>
        <w:rPr>
          <w:szCs w:val="22"/>
        </w:rPr>
        <w:t xml:space="preserve"> in the lists of EU restrictive measures. </w:t>
      </w:r>
      <w:bookmarkEnd w:id="25"/>
      <w:r>
        <w:rPr>
          <w:szCs w:val="22"/>
        </w:rPr>
        <w:t xml:space="preserve"> </w:t>
      </w:r>
    </w:p>
    <w:bookmarkEnd w:id="26"/>
    <w:p w14:paraId="58AE4B2E" w14:textId="77777777" w:rsidR="00107C6D" w:rsidRPr="001B7D50" w:rsidRDefault="00107C6D" w:rsidP="00F36C74">
      <w:pPr>
        <w:keepNext/>
        <w:spacing w:after="120" w:line="240" w:lineRule="atLeast"/>
        <w:rPr>
          <w:b/>
          <w:bCs/>
          <w:szCs w:val="22"/>
        </w:rPr>
      </w:pPr>
      <w:r w:rsidRPr="001B7D50">
        <w:rPr>
          <w:b/>
          <w:bCs/>
          <w:szCs w:val="22"/>
        </w:rPr>
        <w:t>Visibility</w:t>
      </w:r>
    </w:p>
    <w:p w14:paraId="3187015F" w14:textId="77777777" w:rsidR="00702B09" w:rsidRDefault="00622160" w:rsidP="00F36C74">
      <w:pPr>
        <w:spacing w:after="120" w:line="240" w:lineRule="atLeast"/>
        <w:rPr>
          <w:lang w:val="en-IE"/>
        </w:rPr>
      </w:pPr>
      <w:r w:rsidRPr="00807DAF">
        <w:t xml:space="preserve">The </w:t>
      </w:r>
      <w:r w:rsidR="003B254C">
        <w:t>a</w:t>
      </w:r>
      <w:r w:rsidRPr="00807DAF">
        <w:t xml:space="preserve">pplicants must take all necessary steps to </w:t>
      </w:r>
      <w:r w:rsidR="00584654" w:rsidRPr="00F32F61">
        <w:t>ensure the visibility of the European Union as the funder or co-</w:t>
      </w:r>
      <w:proofErr w:type="spellStart"/>
      <w:r w:rsidR="00584654" w:rsidRPr="00F32F61">
        <w:t>funder</w:t>
      </w:r>
      <w:proofErr w:type="spellEnd"/>
      <w:r w:rsidR="00584654" w:rsidRPr="00F32F61">
        <w:t xml:space="preserve"> of the action, through the correct and prominent display of the EU emblem and relevant funding statement</w:t>
      </w:r>
      <w:r w:rsidRPr="00807DAF">
        <w:t xml:space="preserve">. </w:t>
      </w:r>
      <w:r w:rsidR="00B46930" w:rsidRPr="00FA0527">
        <w:rPr>
          <w:lang w:val="en-IE"/>
        </w:rPr>
        <w:t xml:space="preserve">Unless the European Commission agrees otherwise, actions that are wholly or partially funded by the European Union must ensure the visibility of EU financing by displaying the EU emblem in accordance with the guidelines set out in the Operational guidelines for recipients of EU funding, published by the European Commission. </w:t>
      </w:r>
    </w:p>
    <w:p w14:paraId="234C754D" w14:textId="77777777" w:rsidR="00B46930" w:rsidRDefault="00B46930" w:rsidP="00F36C74">
      <w:pPr>
        <w:spacing w:after="120" w:line="240" w:lineRule="atLeast"/>
        <w:rPr>
          <w:lang w:val="en-IE"/>
        </w:rPr>
      </w:pPr>
      <w:r w:rsidRPr="00FA0527">
        <w:rPr>
          <w:lang w:val="en-IE"/>
        </w:rPr>
        <w:t xml:space="preserve">All measures and activities relating to visibility and, if applicable, communication, must </w:t>
      </w:r>
      <w:r>
        <w:rPr>
          <w:lang w:val="en-IE"/>
        </w:rPr>
        <w:t>comply</w:t>
      </w:r>
      <w:r w:rsidRPr="00FA0527">
        <w:rPr>
          <w:lang w:val="en-IE"/>
        </w:rPr>
        <w:t xml:space="preserve"> with the latest Communication and Visibility Requirements </w:t>
      </w:r>
      <w:r w:rsidR="0057624E">
        <w:rPr>
          <w:lang w:val="en-IE"/>
        </w:rPr>
        <w:t xml:space="preserve">for EU-funded external action, </w:t>
      </w:r>
      <w:r w:rsidRPr="00FA0527">
        <w:rPr>
          <w:lang w:val="en-IE"/>
        </w:rPr>
        <w:t xml:space="preserve">laid down and published by the European Commission  </w:t>
      </w:r>
      <w:hyperlink r:id="rId18" w:history="1">
        <w:r w:rsidR="0057624E">
          <w:rPr>
            <w:rStyle w:val="Hyperlink"/>
          </w:rPr>
          <w:t>Communication and Visibility Requirements for EU External Actions | International Partnerships (europa.eu)</w:t>
        </w:r>
      </w:hyperlink>
      <w:r w:rsidRPr="00FA0527">
        <w:rPr>
          <w:lang w:val="en-IE"/>
        </w:rPr>
        <w:t>.</w:t>
      </w:r>
    </w:p>
    <w:p w14:paraId="473CD201" w14:textId="77777777" w:rsidR="00AE5DEF" w:rsidRDefault="00AE5DEF" w:rsidP="00F36C74">
      <w:pPr>
        <w:spacing w:after="120" w:line="240" w:lineRule="atLeast"/>
        <w:rPr>
          <w:lang w:val="en-IE"/>
        </w:rPr>
      </w:pPr>
      <w:r w:rsidRPr="00D50D61">
        <w:rPr>
          <w:lang w:val="en-IE"/>
        </w:rPr>
        <w:t>Derogation from contractual visibility obligations is permitted in exceptional situations, which may be required in the framework of this action due to security issues for the staff and beneficiaries, local political sensitivities, when this is in the interest of the beneficiary or the contracting authority. In such cases, visibility tools, products, and channels to be used in promoting a given action will be determined on a case-by-case basis, in consultation and agreement with the EU prior to limiting EU visibility. Requests for derogation from contractual visibility obligations should be included in Annex A.2 – Full application form and negotiated as part of the Special Conditions of the contract.</w:t>
      </w:r>
    </w:p>
    <w:p w14:paraId="035151B3" w14:textId="77777777" w:rsidR="0007408E" w:rsidRPr="001B7D50" w:rsidRDefault="0007408E" w:rsidP="00F36C74">
      <w:pPr>
        <w:spacing w:after="120" w:line="240" w:lineRule="atLeast"/>
        <w:rPr>
          <w:b/>
          <w:bCs/>
        </w:rPr>
      </w:pPr>
      <w:r w:rsidRPr="001B7D50">
        <w:rPr>
          <w:b/>
          <w:bCs/>
        </w:rPr>
        <w:t xml:space="preserve">Number of </w:t>
      </w:r>
      <w:r w:rsidR="006459C5" w:rsidRPr="001B7D50">
        <w:rPr>
          <w:b/>
          <w:bCs/>
        </w:rPr>
        <w:t>application</w:t>
      </w:r>
      <w:r w:rsidRPr="001B7D50">
        <w:rPr>
          <w:b/>
          <w:bCs/>
        </w:rPr>
        <w:t>s and grants per applicant</w:t>
      </w:r>
      <w:r w:rsidR="00FA2479" w:rsidRPr="001B7D50">
        <w:rPr>
          <w:b/>
          <w:bCs/>
        </w:rPr>
        <w:t>s</w:t>
      </w:r>
      <w:r w:rsidR="00646638" w:rsidRPr="001B7D50">
        <w:rPr>
          <w:b/>
          <w:bCs/>
        </w:rPr>
        <w:t xml:space="preserve"> / affiliated entities</w:t>
      </w:r>
    </w:p>
    <w:p w14:paraId="61B7F1A1" w14:textId="77777777" w:rsidR="001A2107" w:rsidRPr="00807DAF" w:rsidRDefault="001A2107" w:rsidP="001A2107">
      <w:r w:rsidRPr="00807DAF">
        <w:t xml:space="preserve">The </w:t>
      </w:r>
      <w:r>
        <w:t>lead a</w:t>
      </w:r>
      <w:r w:rsidRPr="00807DAF">
        <w:t>pplicant may not</w:t>
      </w:r>
      <w:r>
        <w:t xml:space="preserve"> </w:t>
      </w:r>
      <w:r w:rsidRPr="00807DAF">
        <w:t xml:space="preserve">submit more than </w:t>
      </w:r>
      <w:r>
        <w:t xml:space="preserve">one </w:t>
      </w:r>
      <w:r w:rsidRPr="00807DAF">
        <w:t>application</w:t>
      </w:r>
      <w:r>
        <w:t xml:space="preserve"> </w:t>
      </w:r>
      <w:r w:rsidRPr="00807DAF">
        <w:t xml:space="preserve">per lot under this </w:t>
      </w:r>
      <w:r>
        <w:t>c</w:t>
      </w:r>
      <w:r w:rsidRPr="00807DAF">
        <w:t xml:space="preserve">all for </w:t>
      </w:r>
      <w:r>
        <w:t>p</w:t>
      </w:r>
      <w:r w:rsidRPr="00807DAF">
        <w:t>roposals.</w:t>
      </w:r>
    </w:p>
    <w:p w14:paraId="68BD90C5" w14:textId="77777777" w:rsidR="001A2107" w:rsidRPr="00807DAF" w:rsidRDefault="001A2107" w:rsidP="001A2107">
      <w:r w:rsidRPr="00807DAF">
        <w:t xml:space="preserve">The </w:t>
      </w:r>
      <w:r>
        <w:t>lead a</w:t>
      </w:r>
      <w:r w:rsidRPr="00807DAF">
        <w:t xml:space="preserve">pplicant may not be awarded more than </w:t>
      </w:r>
      <w:r>
        <w:t xml:space="preserve">one </w:t>
      </w:r>
      <w:r w:rsidRPr="00807DAF">
        <w:t>grant</w:t>
      </w:r>
      <w:r>
        <w:t xml:space="preserve"> </w:t>
      </w:r>
      <w:r w:rsidRPr="00807DAF">
        <w:t xml:space="preserve">per lot under this </w:t>
      </w:r>
      <w:r>
        <w:t>c</w:t>
      </w:r>
      <w:r w:rsidRPr="00807DAF">
        <w:t xml:space="preserve">all for </w:t>
      </w:r>
      <w:r>
        <w:t>p</w:t>
      </w:r>
      <w:r w:rsidRPr="00807DAF">
        <w:t>roposals.</w:t>
      </w:r>
    </w:p>
    <w:p w14:paraId="4B67B9E5" w14:textId="77777777" w:rsidR="001A2107" w:rsidRDefault="001A2107" w:rsidP="001A2107">
      <w:r w:rsidRPr="00807DAF">
        <w:lastRenderedPageBreak/>
        <w:t xml:space="preserve">The </w:t>
      </w:r>
      <w:r>
        <w:t>lead a</w:t>
      </w:r>
      <w:r w:rsidRPr="00807DAF">
        <w:t xml:space="preserve">pplicant may not be </w:t>
      </w:r>
      <w:r w:rsidRPr="008503BC">
        <w:t>a co-applicant or an affiliated entity</w:t>
      </w:r>
      <w:r w:rsidRPr="00807DAF">
        <w:t xml:space="preserve"> in another application </w:t>
      </w:r>
      <w:r>
        <w:t xml:space="preserve">of the same lot </w:t>
      </w:r>
      <w:r w:rsidRPr="00807DAF">
        <w:t>at the same time.</w:t>
      </w:r>
    </w:p>
    <w:p w14:paraId="65536858" w14:textId="77777777" w:rsidR="00375A2E" w:rsidRPr="00807DAF" w:rsidRDefault="00375A2E" w:rsidP="00375A2E">
      <w:r w:rsidRPr="008537CD">
        <w:t>A co-applicant/affiliated entity may not be the co-applicant or affiliated entity in more than one application per lot under this call for proposals.</w:t>
      </w:r>
    </w:p>
    <w:p w14:paraId="4BD6F639" w14:textId="77777777" w:rsidR="00375A2E" w:rsidRPr="00807DAF" w:rsidRDefault="00375A2E" w:rsidP="00375A2E">
      <w:bookmarkStart w:id="27" w:name="_Hlk163812542"/>
      <w:bookmarkStart w:id="28" w:name="_Hlk163805913"/>
      <w:r w:rsidRPr="00807DAF">
        <w:t xml:space="preserve">A co-applicant/affiliated entity may not be awarded more than </w:t>
      </w:r>
      <w:r>
        <w:t xml:space="preserve">one </w:t>
      </w:r>
      <w:r w:rsidRPr="00807DAF">
        <w:t xml:space="preserve">grant per lot under this </w:t>
      </w:r>
      <w:r>
        <w:t>c</w:t>
      </w:r>
      <w:r w:rsidRPr="00807DAF">
        <w:t xml:space="preserve">all for </w:t>
      </w:r>
      <w:r>
        <w:t>p</w:t>
      </w:r>
      <w:r w:rsidRPr="00807DAF">
        <w:t>roposals.</w:t>
      </w:r>
    </w:p>
    <w:p w14:paraId="10B0C506" w14:textId="77777777" w:rsidR="00910B7F" w:rsidRPr="00FF3E8A" w:rsidRDefault="00910B7F" w:rsidP="00F36C74">
      <w:pPr>
        <w:spacing w:after="120" w:line="240" w:lineRule="atLeast"/>
        <w:rPr>
          <w:b/>
          <w:bCs/>
          <w:szCs w:val="22"/>
        </w:rPr>
      </w:pPr>
      <w:r w:rsidRPr="00FF3E8A">
        <w:rPr>
          <w:b/>
          <w:bCs/>
          <w:szCs w:val="22"/>
        </w:rPr>
        <w:t>Form of the grant</w:t>
      </w:r>
    </w:p>
    <w:p w14:paraId="189C5F78" w14:textId="77777777" w:rsidR="006A424B" w:rsidRDefault="00910B7F" w:rsidP="00A76C05">
      <w:pPr>
        <w:spacing w:after="120" w:line="240" w:lineRule="atLeast"/>
      </w:pPr>
      <w:r w:rsidRPr="00FF3E8A">
        <w:t>The grant</w:t>
      </w:r>
      <w:r w:rsidR="00AB1C93" w:rsidRPr="00FF3E8A">
        <w:t>s</w:t>
      </w:r>
      <w:r w:rsidRPr="00FF3E8A">
        <w:t xml:space="preserve"> awarded under this call for proposals take the following form(s):</w:t>
      </w:r>
    </w:p>
    <w:p w14:paraId="09C64F31" w14:textId="336A85D1" w:rsidR="006C77A5" w:rsidRPr="00FF3E8A" w:rsidRDefault="006C77A5" w:rsidP="00A76C05">
      <w:pPr>
        <w:spacing w:after="120" w:line="240" w:lineRule="atLeast"/>
      </w:pPr>
      <w:r w:rsidRPr="00FF3E8A">
        <w:t>Reimbursement of eligible costs that may be based on any or a combination of the following forms as per Section 2.1.4:</w:t>
      </w:r>
    </w:p>
    <w:p w14:paraId="17D8BF07" w14:textId="77777777" w:rsidR="006C77A5" w:rsidRPr="00FF3E8A" w:rsidRDefault="006C77A5" w:rsidP="00960052">
      <w:pPr>
        <w:spacing w:after="120" w:line="240" w:lineRule="atLeast"/>
        <w:ind w:firstLine="720"/>
      </w:pPr>
      <w:r w:rsidRPr="00FF3E8A">
        <w:t>(</w:t>
      </w:r>
      <w:proofErr w:type="spellStart"/>
      <w:r w:rsidRPr="00FF3E8A">
        <w:t>i</w:t>
      </w:r>
      <w:proofErr w:type="spellEnd"/>
      <w:r w:rsidRPr="00FF3E8A">
        <w:t>) actual costs incurred by the beneficiary(</w:t>
      </w:r>
      <w:proofErr w:type="spellStart"/>
      <w:r w:rsidRPr="00FF3E8A">
        <w:t>ies</w:t>
      </w:r>
      <w:proofErr w:type="spellEnd"/>
      <w:r w:rsidRPr="00FF3E8A">
        <w:t>) and affiliated entity(</w:t>
      </w:r>
      <w:proofErr w:type="spellStart"/>
      <w:r w:rsidRPr="00FF3E8A">
        <w:t>ies</w:t>
      </w:r>
      <w:proofErr w:type="spellEnd"/>
      <w:r w:rsidRPr="00FF3E8A">
        <w:t>);</w:t>
      </w:r>
    </w:p>
    <w:p w14:paraId="71253A2B" w14:textId="77777777" w:rsidR="006C77A5" w:rsidRPr="00807DAF" w:rsidRDefault="006C77A5" w:rsidP="001B7D50">
      <w:pPr>
        <w:spacing w:after="120" w:line="240" w:lineRule="atLeast"/>
        <w:ind w:left="720" w:firstLine="60"/>
      </w:pPr>
      <w:r w:rsidRPr="00FF3E8A">
        <w:t>(ii) one or more simplified cost options.</w:t>
      </w:r>
      <w:bookmarkEnd w:id="27"/>
      <w:bookmarkEnd w:id="28"/>
    </w:p>
    <w:p w14:paraId="3C358087" w14:textId="77777777" w:rsidR="0007408E" w:rsidRPr="00807DAF" w:rsidRDefault="0007408E" w:rsidP="00EA610C">
      <w:pPr>
        <w:pStyle w:val="Guidelines3"/>
        <w:numPr>
          <w:ilvl w:val="2"/>
          <w:numId w:val="6"/>
        </w:numPr>
      </w:pPr>
      <w:bookmarkStart w:id="29" w:name="_Toc185257675"/>
      <w:r w:rsidRPr="00807DAF">
        <w:t>Eligibility of costs</w:t>
      </w:r>
      <w:r w:rsidR="00AB1C93">
        <w:t xml:space="preserve"> </w:t>
      </w:r>
      <w:bookmarkStart w:id="30" w:name="_Hlk163806140"/>
      <w:r w:rsidR="00AB1C93">
        <w:t xml:space="preserve">and </w:t>
      </w:r>
      <w:r w:rsidR="005E0C27">
        <w:t>eligibility of results/conditions</w:t>
      </w:r>
      <w:bookmarkEnd w:id="29"/>
      <w:bookmarkEnd w:id="30"/>
      <w:r w:rsidR="00A575A2" w:rsidRPr="00807DAF">
        <w:t xml:space="preserve"> </w:t>
      </w:r>
    </w:p>
    <w:p w14:paraId="6B908D16" w14:textId="77777777" w:rsidR="005E0C27" w:rsidRPr="001B7D50" w:rsidRDefault="005E0C27" w:rsidP="00F36C74">
      <w:pPr>
        <w:spacing w:after="120" w:line="240" w:lineRule="atLeast"/>
        <w:rPr>
          <w:b/>
          <w:bCs/>
        </w:rPr>
      </w:pPr>
      <w:bookmarkStart w:id="31" w:name="_Hlk163806154"/>
      <w:r w:rsidRPr="001B7D50">
        <w:t>Reimbursement of costs</w:t>
      </w:r>
    </w:p>
    <w:p w14:paraId="2381813A" w14:textId="77777777" w:rsidR="006224E4" w:rsidRPr="00BA6979" w:rsidRDefault="0058116F" w:rsidP="00F36C74">
      <w:pPr>
        <w:spacing w:after="120" w:line="240" w:lineRule="atLeast"/>
      </w:pPr>
      <w:r>
        <w:t>Where the grant takes the form of reimbursement of costs (</w:t>
      </w:r>
      <w:r w:rsidR="006C77A5">
        <w:t>entire</w:t>
      </w:r>
      <w:r>
        <w:t xml:space="preserve">ly or partially), </w:t>
      </w:r>
      <w:bookmarkEnd w:id="31"/>
      <w:r>
        <w:t>o</w:t>
      </w:r>
      <w:r w:rsidR="006224E4" w:rsidRPr="00807DAF">
        <w:t xml:space="preserve">nly ‘eligible costs’ can be covered by a grant. The categories of costs that are eligible and non-eligible are indicated below. The budget is both a cost estimate and an overall ceiling for </w:t>
      </w:r>
      <w:r>
        <w:t>“eligible costs”.</w:t>
      </w:r>
      <w:r w:rsidR="006224E4" w:rsidRPr="00807DAF">
        <w:t xml:space="preserve"> </w:t>
      </w:r>
    </w:p>
    <w:p w14:paraId="3A4747D7" w14:textId="77777777" w:rsidR="005B720E" w:rsidRPr="0038736F" w:rsidRDefault="0058116F" w:rsidP="00FE2880">
      <w:pPr>
        <w:spacing w:after="120" w:line="240" w:lineRule="atLeast"/>
        <w:outlineLvl w:val="0"/>
        <w:rPr>
          <w:szCs w:val="22"/>
        </w:rPr>
      </w:pPr>
      <w:bookmarkStart w:id="32" w:name="_Hlk163806310"/>
      <w:bookmarkStart w:id="33" w:name="_Hlk163812635"/>
      <w:r>
        <w:t>Eligible costs can be reimbursed as actual costs</w:t>
      </w:r>
      <w:r w:rsidR="00EF03C9">
        <w:t>.</w:t>
      </w:r>
      <w:r w:rsidR="006C77A5">
        <w:rPr>
          <w:rStyle w:val="Funotenzeichen"/>
        </w:rPr>
        <w:footnoteReference w:id="15"/>
      </w:r>
      <w:r>
        <w:t xml:space="preserve"> </w:t>
      </w:r>
    </w:p>
    <w:bookmarkEnd w:id="32"/>
    <w:bookmarkEnd w:id="33"/>
    <w:p w14:paraId="5B9BDEAB" w14:textId="77777777" w:rsidR="0007408E" w:rsidRPr="00807DAF" w:rsidRDefault="0007408E" w:rsidP="00F36C74">
      <w:pPr>
        <w:spacing w:after="120" w:line="240" w:lineRule="atLeast"/>
        <w:rPr>
          <w:u w:val="single"/>
        </w:rPr>
      </w:pPr>
      <w:r w:rsidRPr="00807DAF">
        <w:rPr>
          <w:u w:val="single"/>
        </w:rPr>
        <w:t>Eligible direct costs</w:t>
      </w:r>
    </w:p>
    <w:p w14:paraId="05BA1E9E" w14:textId="77777777" w:rsidR="0007408E" w:rsidRPr="00807DAF" w:rsidRDefault="0007408E" w:rsidP="00F36C74">
      <w:pPr>
        <w:spacing w:after="120" w:line="240" w:lineRule="atLeast"/>
      </w:pPr>
      <w:r w:rsidRPr="00807DAF">
        <w:t>To be eligible under th</w:t>
      </w:r>
      <w:r w:rsidR="002C706C">
        <w:t>is</w:t>
      </w:r>
      <w:r w:rsidRPr="00807DAF">
        <w:t xml:space="preserve"> </w:t>
      </w:r>
      <w:r w:rsidR="00466C25">
        <w:t>c</w:t>
      </w:r>
      <w:r w:rsidRPr="00807DAF">
        <w:t xml:space="preserve">all for </w:t>
      </w:r>
      <w:r w:rsidR="00466C25">
        <w:t>p</w:t>
      </w:r>
      <w:r w:rsidRPr="00807DAF">
        <w:t>roposals, costs must</w:t>
      </w:r>
      <w:r w:rsidR="001870D3" w:rsidRPr="00807DAF">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w:t>
      </w:r>
      <w:r w:rsidR="000D7ACD">
        <w:t>g</w:t>
      </w:r>
      <w:r w:rsidR="001870D3" w:rsidRPr="00807DAF">
        <w:t xml:space="preserve">eneral </w:t>
      </w:r>
      <w:r w:rsidR="000D7ACD">
        <w:t>c</w:t>
      </w:r>
      <w:r w:rsidR="001870D3" w:rsidRPr="00807DAF">
        <w:t xml:space="preserve">onditions to the </w:t>
      </w:r>
      <w:r w:rsidR="00466C25">
        <w:t>standard g</w:t>
      </w:r>
      <w:r w:rsidR="001870D3" w:rsidRPr="00807DAF">
        <w:t xml:space="preserve">rant </w:t>
      </w:r>
      <w:r w:rsidR="00466C25">
        <w:t>c</w:t>
      </w:r>
      <w:r w:rsidR="001870D3" w:rsidRPr="00807DAF">
        <w:t xml:space="preserve">ontract </w:t>
      </w:r>
      <w:r w:rsidR="00F06CB4" w:rsidRPr="00807DAF">
        <w:t xml:space="preserve">(see Annex </w:t>
      </w:r>
      <w:r w:rsidR="00826F51">
        <w:t>G</w:t>
      </w:r>
      <w:r w:rsidR="00AD295A">
        <w:t xml:space="preserve"> </w:t>
      </w:r>
      <w:r w:rsidR="004A51E9" w:rsidRPr="00807DAF">
        <w:t xml:space="preserve">of the </w:t>
      </w:r>
      <w:r w:rsidR="00466C25">
        <w:t>g</w:t>
      </w:r>
      <w:r w:rsidR="004A51E9" w:rsidRPr="00807DAF">
        <w:t>uidelines</w:t>
      </w:r>
      <w:r w:rsidR="00CE18C9" w:rsidRPr="00807DAF">
        <w:t>).</w:t>
      </w:r>
    </w:p>
    <w:p w14:paraId="5035345E" w14:textId="77777777" w:rsidR="00726FAD" w:rsidRPr="00BA6979" w:rsidRDefault="00726FAD" w:rsidP="00F36C74">
      <w:pPr>
        <w:spacing w:after="120" w:line="240" w:lineRule="atLeast"/>
      </w:pPr>
      <w:bookmarkStart w:id="34" w:name="_Hlk163806443"/>
      <w:bookmarkStart w:id="35" w:name="_Hlk163812824"/>
      <w:r w:rsidRPr="00BA6979">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or the percentage of EU co-financing as a result of these corrections.</w:t>
      </w:r>
    </w:p>
    <w:p w14:paraId="2426D0FE" w14:textId="77777777" w:rsidR="00726FAD" w:rsidRPr="00BA6979" w:rsidRDefault="00726FAD" w:rsidP="00F36C74">
      <w:pPr>
        <w:spacing w:after="120" w:line="240" w:lineRule="atLeast"/>
      </w:pPr>
      <w:bookmarkStart w:id="36" w:name="_Hlk163806452"/>
      <w:bookmarkEnd w:id="34"/>
      <w:r w:rsidRPr="00BA6979">
        <w:t xml:space="preserve">It is therefore in the applicants' interest to provide a </w:t>
      </w:r>
      <w:r w:rsidRPr="00BA6979">
        <w:rPr>
          <w:b/>
        </w:rPr>
        <w:t>realistic and cost-effective budget</w:t>
      </w:r>
      <w:r w:rsidRPr="00BA6979">
        <w:t>.</w:t>
      </w:r>
    </w:p>
    <w:bookmarkEnd w:id="35"/>
    <w:bookmarkEnd w:id="36"/>
    <w:p w14:paraId="002C67C2" w14:textId="77777777" w:rsidR="007034C6" w:rsidRPr="00807DAF" w:rsidRDefault="007034C6" w:rsidP="00F36C74">
      <w:pPr>
        <w:spacing w:after="120" w:line="240" w:lineRule="atLeast"/>
        <w:rPr>
          <w:u w:val="single"/>
        </w:rPr>
      </w:pPr>
      <w:r w:rsidRPr="00807DAF">
        <w:rPr>
          <w:u w:val="single"/>
        </w:rPr>
        <w:t>Contingency reserve</w:t>
      </w:r>
    </w:p>
    <w:p w14:paraId="42953BE4" w14:textId="77777777" w:rsidR="00AB1C93" w:rsidRPr="00807DAF" w:rsidRDefault="000B1032" w:rsidP="00F36C74">
      <w:pPr>
        <w:spacing w:after="120" w:line="240" w:lineRule="atLeast"/>
      </w:pPr>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w:t>
      </w:r>
      <w:r w:rsidR="00BC4CCE">
        <w:t xml:space="preserve"> </w:t>
      </w:r>
      <w:bookmarkStart w:id="37" w:name="_Hlk165559714"/>
      <w:r w:rsidR="00BC4CCE">
        <w:t>(in case of actions comprising also financing not linked to costs, to be calculated on the cost-based component)</w:t>
      </w:r>
      <w:bookmarkEnd w:id="37"/>
      <w:r w:rsidR="007034C6" w:rsidRPr="00807DAF">
        <w:t xml:space="preserve">. It can only be used with the </w:t>
      </w:r>
      <w:r w:rsidR="007034C6" w:rsidRPr="00807DAF">
        <w:rPr>
          <w:b/>
        </w:rPr>
        <w:t>prior written</w:t>
      </w:r>
      <w:r w:rsidR="007034C6" w:rsidRPr="00807DAF">
        <w:t xml:space="preserve"> </w:t>
      </w:r>
      <w:r w:rsidR="007034C6" w:rsidRPr="00807DAF">
        <w:rPr>
          <w:b/>
        </w:rPr>
        <w:t>authorisation</w:t>
      </w:r>
      <w:r w:rsidR="007034C6" w:rsidRPr="00807DAF">
        <w:t xml:space="preserve"> of the </w:t>
      </w:r>
      <w:r w:rsidR="000D7ACD">
        <w:t>c</w:t>
      </w:r>
      <w:r w:rsidR="007034C6" w:rsidRPr="00807DAF">
        <w:t xml:space="preserve">ontracting </w:t>
      </w:r>
      <w:r w:rsidR="000D7ACD">
        <w:t>a</w:t>
      </w:r>
      <w:r w:rsidR="007034C6" w:rsidRPr="00807DAF">
        <w:t>uthority.</w:t>
      </w:r>
    </w:p>
    <w:p w14:paraId="72277F6E" w14:textId="77777777" w:rsidR="0007408E" w:rsidRPr="00807DAF" w:rsidRDefault="0007408E" w:rsidP="00F36C74">
      <w:pPr>
        <w:spacing w:after="120" w:line="240" w:lineRule="atLeast"/>
        <w:rPr>
          <w:u w:val="single"/>
        </w:rPr>
      </w:pPr>
      <w:r w:rsidRPr="00807DAF">
        <w:rPr>
          <w:u w:val="single"/>
        </w:rPr>
        <w:t>Eligible indirect costs</w:t>
      </w:r>
    </w:p>
    <w:p w14:paraId="705092DF" w14:textId="77777777" w:rsidR="00460729" w:rsidRPr="00807DAF" w:rsidRDefault="00460729" w:rsidP="00F36C74">
      <w:pPr>
        <w:spacing w:after="120" w:line="240" w:lineRule="atLeast"/>
        <w:rPr>
          <w:lang w:eastAsia="en-GB" w:bidi="kn-IN"/>
        </w:rPr>
      </w:pPr>
      <w:r w:rsidRPr="00807DAF">
        <w:rPr>
          <w:lang w:eastAsia="en-GB" w:bidi="kn-IN"/>
        </w:rPr>
        <w:t>The indirect costs incurred in carrying out the action may be eligible for flat-rate funding</w:t>
      </w:r>
      <w:r w:rsidR="00466510" w:rsidRPr="00807DAF">
        <w:rPr>
          <w:lang w:eastAsia="en-GB" w:bidi="kn-IN"/>
        </w:rPr>
        <w:t>,</w:t>
      </w:r>
      <w:r w:rsidRPr="00807DAF">
        <w:rPr>
          <w:lang w:eastAsia="en-GB" w:bidi="kn-IN"/>
        </w:rPr>
        <w:t xml:space="preserve"> </w:t>
      </w:r>
      <w:r w:rsidR="00B1674B" w:rsidRPr="00807DAF">
        <w:rPr>
          <w:lang w:eastAsia="en-GB" w:bidi="kn-IN"/>
        </w:rPr>
        <w:t>but the total must not exceed</w:t>
      </w:r>
      <w:r w:rsidRPr="00807DAF">
        <w:rPr>
          <w:lang w:eastAsia="en-GB" w:bidi="kn-IN"/>
        </w:rPr>
        <w:t xml:space="preserve"> 7</w:t>
      </w:r>
      <w:r w:rsidR="00A016F9" w:rsidRPr="00807DAF">
        <w:rPr>
          <w:w w:val="50"/>
          <w:lang w:eastAsia="en-GB" w:bidi="kn-IN"/>
        </w:rPr>
        <w:t> </w:t>
      </w:r>
      <w:r w:rsidRPr="00807DAF">
        <w:rPr>
          <w:lang w:eastAsia="en-GB" w:bidi="kn-IN"/>
        </w:rPr>
        <w:t>%</w:t>
      </w:r>
      <w:r w:rsidR="00EB3DA4" w:rsidRPr="00807DAF">
        <w:rPr>
          <w:lang w:eastAsia="en-GB" w:bidi="kn-IN"/>
        </w:rPr>
        <w:t xml:space="preserve"> </w:t>
      </w:r>
      <w:r w:rsidRPr="00807DAF">
        <w:rPr>
          <w:lang w:eastAsia="en-GB" w:bidi="kn-IN"/>
        </w:rPr>
        <w:t xml:space="preserve">of the </w:t>
      </w:r>
      <w:r w:rsidR="00584247" w:rsidRPr="00807DAF">
        <w:rPr>
          <w:lang w:eastAsia="en-GB" w:bidi="kn-IN"/>
        </w:rPr>
        <w:t xml:space="preserve">estimated </w:t>
      </w:r>
      <w:r w:rsidRPr="00807DAF">
        <w:rPr>
          <w:lang w:eastAsia="en-GB" w:bidi="kn-IN"/>
        </w:rPr>
        <w:t>total eligible direct costs</w:t>
      </w:r>
      <w:r w:rsidR="0043402F">
        <w:rPr>
          <w:lang w:eastAsia="en-GB" w:bidi="kn-IN"/>
        </w:rPr>
        <w:t xml:space="preserve"> </w:t>
      </w:r>
      <w:bookmarkStart w:id="38" w:name="_Hlk164940031"/>
      <w:r w:rsidR="0043402F">
        <w:rPr>
          <w:lang w:eastAsia="en-GB" w:bidi="kn-IN"/>
        </w:rPr>
        <w:t>(except volunteer costs and project office costs)</w:t>
      </w:r>
      <w:bookmarkEnd w:id="38"/>
      <w:r w:rsidR="00BC4CCE">
        <w:rPr>
          <w:lang w:eastAsia="en-GB" w:bidi="kn-IN"/>
        </w:rPr>
        <w:t xml:space="preserve"> </w:t>
      </w:r>
      <w:r w:rsidR="00BC4CCE">
        <w:t>(in case of actions comprising also financing not linked to costs, to be calculated on the cost-based component)</w:t>
      </w:r>
      <w:r w:rsidRPr="00807DAF">
        <w:rPr>
          <w:sz w:val="20"/>
          <w:lang w:eastAsia="en-GB" w:bidi="kn-IN"/>
        </w:rPr>
        <w:t>.</w:t>
      </w:r>
      <w:r w:rsidR="00E2380E" w:rsidRPr="00807DAF">
        <w:rPr>
          <w:sz w:val="20"/>
          <w:lang w:eastAsia="en-GB" w:bidi="kn-IN"/>
        </w:rPr>
        <w:t xml:space="preserve"> </w:t>
      </w:r>
      <w:r w:rsidR="00E2380E" w:rsidRPr="00807DAF">
        <w:rPr>
          <w:lang w:eastAsia="en-GB" w:bidi="kn-IN"/>
        </w:rPr>
        <w:t>Indirect costs are eligible provided that they do not include costs assigned to another</w:t>
      </w:r>
      <w:r w:rsidR="00B1674B" w:rsidRPr="00807DAF">
        <w:rPr>
          <w:lang w:eastAsia="en-GB" w:bidi="kn-IN"/>
        </w:rPr>
        <w:t xml:space="preserve"> budget</w:t>
      </w:r>
      <w:r w:rsidR="00E2380E" w:rsidRPr="00807DAF">
        <w:rPr>
          <w:lang w:eastAsia="en-GB" w:bidi="kn-IN"/>
        </w:rPr>
        <w:t xml:space="preserve"> heading </w:t>
      </w:r>
      <w:r w:rsidR="00B1674B" w:rsidRPr="00807DAF">
        <w:rPr>
          <w:lang w:eastAsia="en-GB" w:bidi="kn-IN"/>
        </w:rPr>
        <w:t>in</w:t>
      </w:r>
      <w:r w:rsidR="00450369" w:rsidRPr="00807DAF">
        <w:rPr>
          <w:lang w:eastAsia="en-GB" w:bidi="kn-IN"/>
        </w:rPr>
        <w:t xml:space="preserve"> the standard grant c</w:t>
      </w:r>
      <w:r w:rsidR="00E2380E" w:rsidRPr="00807DAF">
        <w:rPr>
          <w:lang w:eastAsia="en-GB" w:bidi="kn-IN"/>
        </w:rPr>
        <w:t xml:space="preserve">ontract. The </w:t>
      </w:r>
      <w:r w:rsidR="00B114D9">
        <w:rPr>
          <w:lang w:eastAsia="en-GB" w:bidi="kn-IN"/>
        </w:rPr>
        <w:t>lead a</w:t>
      </w:r>
      <w:r w:rsidR="00E2380E" w:rsidRPr="00807DAF">
        <w:rPr>
          <w:lang w:eastAsia="en-GB" w:bidi="kn-IN"/>
        </w:rPr>
        <w:t xml:space="preserve">pplicant may be asked to justify the percentage </w:t>
      </w:r>
      <w:r w:rsidR="00B1674B" w:rsidRPr="00807DAF">
        <w:rPr>
          <w:lang w:eastAsia="en-GB" w:bidi="kn-IN"/>
        </w:rPr>
        <w:t xml:space="preserve">requested </w:t>
      </w:r>
      <w:r w:rsidR="00E2380E" w:rsidRPr="00807DAF">
        <w:rPr>
          <w:lang w:eastAsia="en-GB" w:bidi="kn-IN"/>
        </w:rPr>
        <w:t xml:space="preserve">before </w:t>
      </w:r>
      <w:r w:rsidR="00B1674B" w:rsidRPr="00807DAF">
        <w:rPr>
          <w:lang w:eastAsia="en-GB" w:bidi="kn-IN"/>
        </w:rPr>
        <w:t xml:space="preserve">the </w:t>
      </w:r>
      <w:r w:rsidR="00466C25">
        <w:rPr>
          <w:lang w:eastAsia="en-GB" w:bidi="kn-IN"/>
        </w:rPr>
        <w:t>g</w:t>
      </w:r>
      <w:r w:rsidR="004F6678">
        <w:rPr>
          <w:lang w:eastAsia="en-GB" w:bidi="kn-IN"/>
        </w:rPr>
        <w:t xml:space="preserve">rant </w:t>
      </w:r>
      <w:r w:rsidR="00466C25">
        <w:rPr>
          <w:lang w:eastAsia="en-GB" w:bidi="kn-IN"/>
        </w:rPr>
        <w:t>c</w:t>
      </w:r>
      <w:r w:rsidR="00E2380E" w:rsidRPr="00807DAF">
        <w:rPr>
          <w:lang w:eastAsia="en-GB" w:bidi="kn-IN"/>
        </w:rPr>
        <w:t>ontract</w:t>
      </w:r>
      <w:r w:rsidR="00B1674B" w:rsidRPr="00807DAF">
        <w:rPr>
          <w:lang w:eastAsia="en-GB" w:bidi="kn-IN"/>
        </w:rPr>
        <w:t xml:space="preserve"> is signed</w:t>
      </w:r>
      <w:r w:rsidR="00E2380E" w:rsidRPr="00807DAF">
        <w:rPr>
          <w:lang w:eastAsia="en-GB" w:bidi="kn-IN"/>
        </w:rPr>
        <w:t>. However, once the flat</w:t>
      </w:r>
      <w:r w:rsidR="00B1674B" w:rsidRPr="00807DAF">
        <w:rPr>
          <w:lang w:eastAsia="en-GB" w:bidi="kn-IN"/>
        </w:rPr>
        <w:t xml:space="preserve"> </w:t>
      </w:r>
      <w:r w:rsidR="00E2380E" w:rsidRPr="00807DAF">
        <w:rPr>
          <w:lang w:eastAsia="en-GB" w:bidi="kn-IN"/>
        </w:rPr>
        <w:t>rate has been fixed in the</w:t>
      </w:r>
      <w:r w:rsidR="00450369" w:rsidRPr="00807DAF">
        <w:rPr>
          <w:lang w:eastAsia="en-GB" w:bidi="kn-IN"/>
        </w:rPr>
        <w:t xml:space="preserve"> </w:t>
      </w:r>
      <w:r w:rsidR="000D7ACD">
        <w:rPr>
          <w:lang w:eastAsia="en-GB" w:bidi="kn-IN"/>
        </w:rPr>
        <w:t>s</w:t>
      </w:r>
      <w:r w:rsidR="00450369" w:rsidRPr="00807DAF">
        <w:rPr>
          <w:lang w:eastAsia="en-GB" w:bidi="kn-IN"/>
        </w:rPr>
        <w:t xml:space="preserve">pecial </w:t>
      </w:r>
      <w:r w:rsidR="000D7ACD">
        <w:rPr>
          <w:lang w:eastAsia="en-GB" w:bidi="kn-IN"/>
        </w:rPr>
        <w:t>c</w:t>
      </w:r>
      <w:r w:rsidR="00450369" w:rsidRPr="00807DAF">
        <w:rPr>
          <w:lang w:eastAsia="en-GB" w:bidi="kn-IN"/>
        </w:rPr>
        <w:t xml:space="preserve">onditions of the </w:t>
      </w:r>
      <w:r w:rsidR="00466C25">
        <w:rPr>
          <w:lang w:eastAsia="en-GB" w:bidi="kn-IN"/>
        </w:rPr>
        <w:t>g</w:t>
      </w:r>
      <w:r w:rsidR="00450369" w:rsidRPr="00807DAF">
        <w:rPr>
          <w:lang w:eastAsia="en-GB" w:bidi="kn-IN"/>
        </w:rPr>
        <w:t>rant</w:t>
      </w:r>
      <w:r w:rsidR="00E2380E" w:rsidRPr="00807DAF">
        <w:rPr>
          <w:lang w:eastAsia="en-GB" w:bidi="kn-IN"/>
        </w:rPr>
        <w:t xml:space="preserve"> </w:t>
      </w:r>
      <w:r w:rsidR="00466C25">
        <w:rPr>
          <w:lang w:eastAsia="en-GB" w:bidi="kn-IN"/>
        </w:rPr>
        <w:t>c</w:t>
      </w:r>
      <w:r w:rsidR="00E2380E" w:rsidRPr="00807DAF">
        <w:rPr>
          <w:lang w:eastAsia="en-GB" w:bidi="kn-IN"/>
        </w:rPr>
        <w:t>ontract, no supporting documents need to be provided.</w:t>
      </w:r>
    </w:p>
    <w:p w14:paraId="5E1F7536" w14:textId="77777777" w:rsidR="00460729" w:rsidRPr="00807DAF" w:rsidRDefault="00460729" w:rsidP="00F36C74">
      <w:pPr>
        <w:spacing w:after="120" w:line="240" w:lineRule="atLeast"/>
        <w:rPr>
          <w:lang w:eastAsia="en-GB" w:bidi="kn-IN"/>
        </w:rPr>
      </w:pPr>
      <w:r w:rsidRPr="00807DAF">
        <w:rPr>
          <w:lang w:eastAsia="en-GB" w:bidi="kn-IN"/>
        </w:rPr>
        <w:t xml:space="preserve">If </w:t>
      </w:r>
      <w:r w:rsidR="00A703F1" w:rsidRPr="00807DAF">
        <w:rPr>
          <w:lang w:eastAsia="en-GB" w:bidi="kn-IN"/>
        </w:rPr>
        <w:t>any of the</w:t>
      </w:r>
      <w:r w:rsidR="00705C17" w:rsidRPr="00807DAF">
        <w:rPr>
          <w:lang w:eastAsia="en-GB" w:bidi="kn-IN"/>
        </w:rPr>
        <w:t xml:space="preserve"> </w:t>
      </w:r>
      <w:r w:rsidRPr="00807DAF">
        <w:rPr>
          <w:lang w:eastAsia="en-GB" w:bidi="kn-IN"/>
        </w:rPr>
        <w:t>applicant</w:t>
      </w:r>
      <w:r w:rsidR="00A703F1" w:rsidRPr="00807DAF">
        <w:rPr>
          <w:lang w:eastAsia="en-GB" w:bidi="kn-IN"/>
        </w:rPr>
        <w:t>s</w:t>
      </w:r>
      <w:r w:rsidRPr="00807DAF">
        <w:rPr>
          <w:lang w:eastAsia="en-GB" w:bidi="kn-IN"/>
        </w:rPr>
        <w:t xml:space="preserve"> </w:t>
      </w:r>
      <w:r w:rsidR="00A703F1" w:rsidRPr="00807DAF">
        <w:rPr>
          <w:lang w:eastAsia="en-GB" w:bidi="kn-IN"/>
        </w:rPr>
        <w:t>or affiliated entity(</w:t>
      </w:r>
      <w:proofErr w:type="spellStart"/>
      <w:r w:rsidR="00A703F1" w:rsidRPr="00807DAF">
        <w:rPr>
          <w:lang w:eastAsia="en-GB" w:bidi="kn-IN"/>
        </w:rPr>
        <w:t>ies</w:t>
      </w:r>
      <w:proofErr w:type="spellEnd"/>
      <w:r w:rsidR="00A703F1" w:rsidRPr="00807DAF">
        <w:rPr>
          <w:lang w:eastAsia="en-GB" w:bidi="kn-IN"/>
        </w:rPr>
        <w:t xml:space="preserve">) </w:t>
      </w:r>
      <w:r w:rsidRPr="00807DAF">
        <w:rPr>
          <w:lang w:eastAsia="en-GB" w:bidi="kn-IN"/>
        </w:rPr>
        <w:t xml:space="preserve">is in receipt of an operating grant financed </w:t>
      </w:r>
      <w:r w:rsidR="00705C17" w:rsidRPr="00807DAF">
        <w:rPr>
          <w:lang w:eastAsia="en-GB" w:bidi="kn-IN"/>
        </w:rPr>
        <w:t xml:space="preserve">by </w:t>
      </w:r>
      <w:r w:rsidRPr="00807DAF">
        <w:rPr>
          <w:lang w:eastAsia="en-GB" w:bidi="kn-IN"/>
        </w:rPr>
        <w:t xml:space="preserve">the </w:t>
      </w:r>
      <w:r w:rsidR="00D65E10" w:rsidRPr="00807DAF">
        <w:rPr>
          <w:lang w:eastAsia="en-GB" w:bidi="kn-IN"/>
        </w:rPr>
        <w:t>EU</w:t>
      </w:r>
      <w:r w:rsidR="00601848" w:rsidRPr="00807DAF">
        <w:rPr>
          <w:lang w:eastAsia="en-GB" w:bidi="kn-IN"/>
        </w:rPr>
        <w:t xml:space="preserve">, </w:t>
      </w:r>
      <w:r w:rsidR="00705C17" w:rsidRPr="00807DAF">
        <w:rPr>
          <w:lang w:eastAsia="en-GB" w:bidi="kn-IN"/>
        </w:rPr>
        <w:t>it may not claim</w:t>
      </w:r>
      <w:r w:rsidRPr="00807DAF">
        <w:rPr>
          <w:lang w:eastAsia="en-GB" w:bidi="kn-IN"/>
        </w:rPr>
        <w:t xml:space="preserve"> indirect costs</w:t>
      </w:r>
      <w:r w:rsidR="00705C17" w:rsidRPr="00807DAF">
        <w:rPr>
          <w:lang w:eastAsia="en-GB" w:bidi="kn-IN"/>
        </w:rPr>
        <w:t xml:space="preserve"> on its incurred costs</w:t>
      </w:r>
      <w:r w:rsidR="00705C17" w:rsidRPr="00807DAF">
        <w:rPr>
          <w:color w:val="0000FF"/>
          <w:sz w:val="20"/>
          <w:lang w:eastAsia="en-GB" w:bidi="kn-IN"/>
        </w:rPr>
        <w:t xml:space="preserve"> </w:t>
      </w:r>
      <w:r w:rsidRPr="00807DAF">
        <w:rPr>
          <w:lang w:eastAsia="en-GB" w:bidi="kn-IN"/>
        </w:rPr>
        <w:t>within the proposed budget for the action.</w:t>
      </w:r>
    </w:p>
    <w:p w14:paraId="77E090B9" w14:textId="77777777" w:rsidR="0007408E" w:rsidRPr="00807DAF" w:rsidRDefault="0007408E" w:rsidP="00F36C74">
      <w:pPr>
        <w:spacing w:after="120" w:line="240" w:lineRule="atLeast"/>
        <w:rPr>
          <w:u w:val="single"/>
        </w:rPr>
      </w:pPr>
      <w:r w:rsidRPr="00807DAF">
        <w:rPr>
          <w:u w:val="single"/>
        </w:rPr>
        <w:lastRenderedPageBreak/>
        <w:t>Contributions in kind</w:t>
      </w:r>
    </w:p>
    <w:p w14:paraId="7D1D0FED" w14:textId="77777777" w:rsidR="007815B2" w:rsidRDefault="008A62F6" w:rsidP="00F36C74">
      <w:pPr>
        <w:spacing w:after="120" w:line="240" w:lineRule="atLeast"/>
      </w:pPr>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lang w:eastAsia="en-GB" w:bidi="kn-IN"/>
        </w:rPr>
        <w:t xml:space="preserve">affiliated entities </w:t>
      </w:r>
      <w:r w:rsidRPr="00807DAF">
        <w:t xml:space="preserve">free of charge by a third party. As contributions in kind do not involve any expenditure for </w:t>
      </w:r>
      <w:r w:rsidR="000D61C6">
        <w:t>b</w:t>
      </w:r>
      <w:r w:rsidRPr="00807DAF">
        <w:t>eneficiar</w:t>
      </w:r>
      <w:r w:rsidR="00101AEE" w:rsidRPr="00807DAF">
        <w:t>ies</w:t>
      </w:r>
      <w:r w:rsidR="00A703F1" w:rsidRPr="00807DAF">
        <w:t xml:space="preserve"> </w:t>
      </w:r>
      <w:r w:rsidR="00A703F1" w:rsidRPr="00807DAF">
        <w:rPr>
          <w:lang w:eastAsia="en-GB" w:bidi="kn-IN"/>
        </w:rPr>
        <w:t>or affiliated entities</w:t>
      </w:r>
      <w:r w:rsidRPr="00807DAF">
        <w:t>, they are not eligible costs</w:t>
      </w:r>
      <w:r w:rsidR="009531D0">
        <w:t xml:space="preserve"> (</w:t>
      </w:r>
      <w:r w:rsidR="009531D0" w:rsidRPr="009531D0">
        <w:t xml:space="preserve">except for personnel costs for the work carried out by volunteers under an action or </w:t>
      </w:r>
      <w:r w:rsidR="00B44EF3">
        <w:t>operating grant</w:t>
      </w:r>
      <w:r w:rsidR="009531D0">
        <w:t xml:space="preserve"> if so authorised</w:t>
      </w:r>
      <w:r w:rsidR="009531D0" w:rsidRPr="009531D0">
        <w:t>)</w:t>
      </w:r>
      <w:r w:rsidRPr="00807DAF">
        <w:t>.</w:t>
      </w:r>
      <w:r w:rsidR="006507EF" w:rsidRPr="00807DAF">
        <w:t xml:space="preserve"> </w:t>
      </w:r>
    </w:p>
    <w:p w14:paraId="5EF8E7B7" w14:textId="77777777" w:rsidR="00F52B38" w:rsidRPr="00807DAF" w:rsidRDefault="00BC7EE3" w:rsidP="00F36C74">
      <w:pPr>
        <w:spacing w:after="120" w:line="240" w:lineRule="atLeast"/>
      </w:pPr>
      <w:r w:rsidRPr="00807DAF">
        <w:t>C</w:t>
      </w:r>
      <w:r w:rsidR="00F52B38" w:rsidRPr="00807DAF">
        <w:t>ontributions in kind may not be treated as co-financing</w:t>
      </w:r>
      <w:r w:rsidR="00BC4CCE">
        <w:t>.</w:t>
      </w:r>
    </w:p>
    <w:p w14:paraId="0DDE319F" w14:textId="77777777" w:rsidR="00F52B38" w:rsidRDefault="00BC7EE3" w:rsidP="00F36C74">
      <w:pPr>
        <w:spacing w:after="120" w:line="240" w:lineRule="atLeast"/>
      </w:pPr>
      <w:r w:rsidRPr="00807DAF">
        <w:t>However</w:t>
      </w:r>
      <w:r w:rsidR="00F52B38" w:rsidRPr="00807DAF">
        <w:t xml:space="preserve">, if the description of the action as proposed </w:t>
      </w:r>
      <w:r w:rsidRPr="00807DAF">
        <w:t>includes</w:t>
      </w:r>
      <w:r w:rsidR="00F52B38" w:rsidRPr="00807DAF">
        <w:t xml:space="preserve"> contributions in kind, </w:t>
      </w:r>
      <w:r w:rsidRPr="00807DAF">
        <w:t xml:space="preserve">the </w:t>
      </w:r>
      <w:r w:rsidR="00F52B38" w:rsidRPr="00807DAF">
        <w:t>contributions have to be</w:t>
      </w:r>
      <w:r w:rsidR="005D2AC6" w:rsidRPr="00807DAF">
        <w:t xml:space="preserve"> </w:t>
      </w:r>
      <w:r w:rsidRPr="00807DAF">
        <w:t>made</w:t>
      </w:r>
      <w:r w:rsidR="00F52B38" w:rsidRPr="00807DAF">
        <w:t>.</w:t>
      </w:r>
    </w:p>
    <w:p w14:paraId="202267F2" w14:textId="77777777" w:rsidR="00511112" w:rsidRPr="00807DAF" w:rsidRDefault="00511112" w:rsidP="00F36C74">
      <w:pPr>
        <w:spacing w:after="120" w:line="240" w:lineRule="atLeast"/>
        <w:rPr>
          <w:u w:val="single"/>
        </w:rPr>
      </w:pPr>
      <w:r w:rsidRPr="00807DAF">
        <w:rPr>
          <w:u w:val="single"/>
        </w:rPr>
        <w:t>Ineligible costs</w:t>
      </w:r>
    </w:p>
    <w:p w14:paraId="62FA77D1" w14:textId="77777777" w:rsidR="00511112" w:rsidRPr="00807DAF" w:rsidRDefault="0043402F" w:rsidP="00F36C74">
      <w:pPr>
        <w:spacing w:after="120" w:line="240" w:lineRule="atLeast"/>
      </w:pPr>
      <w:r w:rsidRPr="0043402F">
        <w:t xml:space="preserve">Costs that do not comply with the conditions laid down in the contract are not eligible. </w:t>
      </w:r>
      <w:r w:rsidR="00511112" w:rsidRPr="00807DAF">
        <w:t>The following costs are not eligible:</w:t>
      </w:r>
    </w:p>
    <w:p w14:paraId="3DD38303" w14:textId="77777777" w:rsidR="00AC1803" w:rsidRPr="00807DAF" w:rsidRDefault="00511112" w:rsidP="00EA610C">
      <w:pPr>
        <w:numPr>
          <w:ilvl w:val="0"/>
          <w:numId w:val="12"/>
        </w:numPr>
        <w:spacing w:after="120" w:line="240" w:lineRule="atLeast"/>
      </w:pPr>
      <w:r w:rsidRPr="00807DAF">
        <w:t>debts and debt</w:t>
      </w:r>
      <w:r w:rsidR="00AC1803" w:rsidRPr="00807DAF">
        <w:t xml:space="preserve"> service charges</w:t>
      </w:r>
      <w:r w:rsidR="00516FC2" w:rsidRPr="00807DAF">
        <w:t xml:space="preserve"> (interest);</w:t>
      </w:r>
    </w:p>
    <w:p w14:paraId="7655EE1E" w14:textId="77777777" w:rsidR="00511112" w:rsidRPr="00807DAF" w:rsidRDefault="00AC1803" w:rsidP="00EA610C">
      <w:pPr>
        <w:numPr>
          <w:ilvl w:val="0"/>
          <w:numId w:val="12"/>
        </w:numPr>
        <w:spacing w:after="120" w:line="240" w:lineRule="atLeast"/>
      </w:pPr>
      <w:r w:rsidRPr="00807DAF">
        <w:t>provisions for losses or potential future liabilities</w:t>
      </w:r>
      <w:r w:rsidR="00511112" w:rsidRPr="00807DAF">
        <w:t>;</w:t>
      </w:r>
    </w:p>
    <w:p w14:paraId="599CE18B" w14:textId="77777777" w:rsidR="00511112" w:rsidRPr="00807DAF" w:rsidRDefault="00AC1803" w:rsidP="00EA610C">
      <w:pPr>
        <w:numPr>
          <w:ilvl w:val="0"/>
          <w:numId w:val="12"/>
        </w:numPr>
        <w:spacing w:after="120" w:line="240" w:lineRule="atLeast"/>
      </w:pPr>
      <w:r w:rsidRPr="00807DAF">
        <w:t xml:space="preserve">costs declared by the </w:t>
      </w:r>
      <w:r w:rsidR="000D61C6">
        <w:t>b</w:t>
      </w:r>
      <w:r w:rsidR="00516FC2" w:rsidRPr="00807DAF">
        <w:t>eneficiary(</w:t>
      </w:r>
      <w:proofErr w:type="spellStart"/>
      <w:r w:rsidR="00516FC2" w:rsidRPr="00807DAF">
        <w:t>ies</w:t>
      </w:r>
      <w:proofErr w:type="spellEnd"/>
      <w:r w:rsidR="00516FC2" w:rsidRPr="00807DAF">
        <w:t xml:space="preserve">) and financed by another action or work programme receiving a </w:t>
      </w:r>
      <w:r w:rsidR="004F6678">
        <w:t xml:space="preserve">European </w:t>
      </w:r>
      <w:r w:rsidR="00516FC2" w:rsidRPr="00807DAF">
        <w:t>Union (including through EDF) grant</w:t>
      </w:r>
      <w:r w:rsidR="00511112" w:rsidRPr="00807DAF">
        <w:t>;</w:t>
      </w:r>
    </w:p>
    <w:p w14:paraId="72857A05" w14:textId="77777777" w:rsidR="00511112" w:rsidRPr="00807DAF" w:rsidRDefault="00511112" w:rsidP="00EA610C">
      <w:pPr>
        <w:numPr>
          <w:ilvl w:val="0"/>
          <w:numId w:val="12"/>
        </w:numPr>
        <w:spacing w:after="120" w:line="240" w:lineRule="atLeast"/>
      </w:pPr>
      <w:r w:rsidRPr="00807DAF">
        <w:t xml:space="preserve">purchases of land or buildings, except where necessary for the direct implementation of the action, in which case ownership must be transferred </w:t>
      </w:r>
      <w:r w:rsidR="0029143C">
        <w:t xml:space="preserve">in accordance with Article 7.5 of the </w:t>
      </w:r>
      <w:r w:rsidR="000D7ACD">
        <w:t>g</w:t>
      </w:r>
      <w:r w:rsidR="0029143C">
        <w:t xml:space="preserve">eneral </w:t>
      </w:r>
      <w:r w:rsidR="000D7ACD">
        <w:t>c</w:t>
      </w:r>
      <w:r w:rsidR="0029143C">
        <w:t>onditions of the standard grant contract</w:t>
      </w:r>
      <w:r w:rsidR="002265E1" w:rsidRPr="00807DAF">
        <w:t xml:space="preserve">, at the latest </w:t>
      </w:r>
      <w:r w:rsidR="00516FC2" w:rsidRPr="00807DAF">
        <w:t>at</w:t>
      </w:r>
      <w:r w:rsidRPr="00807DAF">
        <w:t xml:space="preserve"> the end of the action;</w:t>
      </w:r>
    </w:p>
    <w:p w14:paraId="05A6FA92" w14:textId="77777777" w:rsidR="00511112" w:rsidRDefault="00511112" w:rsidP="00EA610C">
      <w:pPr>
        <w:numPr>
          <w:ilvl w:val="0"/>
          <w:numId w:val="12"/>
        </w:numPr>
        <w:spacing w:after="120" w:line="240" w:lineRule="atLeast"/>
      </w:pPr>
      <w:r w:rsidRPr="00807DAF">
        <w:t>currency exchange losses;</w:t>
      </w:r>
    </w:p>
    <w:p w14:paraId="71E7641D" w14:textId="77777777" w:rsidR="00006069" w:rsidRDefault="00006069" w:rsidP="00EA610C">
      <w:pPr>
        <w:numPr>
          <w:ilvl w:val="0"/>
          <w:numId w:val="12"/>
        </w:numPr>
        <w:spacing w:after="120" w:line="240" w:lineRule="atLeast"/>
      </w:pPr>
      <w:r>
        <w:t>in kind contributions (except for volunteers' work);</w:t>
      </w:r>
    </w:p>
    <w:p w14:paraId="54F8ABC3" w14:textId="77777777" w:rsidR="00006069" w:rsidRDefault="00006069" w:rsidP="00EA610C">
      <w:pPr>
        <w:numPr>
          <w:ilvl w:val="0"/>
          <w:numId w:val="12"/>
        </w:numPr>
        <w:spacing w:after="120" w:line="240" w:lineRule="atLeast"/>
      </w:pPr>
      <w:r>
        <w:t xml:space="preserve">bonuses included in costs of staff; </w:t>
      </w:r>
    </w:p>
    <w:p w14:paraId="62E24229" w14:textId="77777777" w:rsidR="00006069" w:rsidRPr="00807DAF" w:rsidRDefault="00006069" w:rsidP="00EA610C">
      <w:pPr>
        <w:numPr>
          <w:ilvl w:val="0"/>
          <w:numId w:val="12"/>
        </w:numPr>
        <w:spacing w:after="120" w:line="240" w:lineRule="atLeast"/>
      </w:pPr>
      <w:r>
        <w:t>negative interest charged by banks or other financial institutions;</w:t>
      </w:r>
    </w:p>
    <w:p w14:paraId="1D11156F" w14:textId="77777777" w:rsidR="0061511C" w:rsidRPr="00876E0B" w:rsidRDefault="00C9081A" w:rsidP="00EA610C">
      <w:pPr>
        <w:numPr>
          <w:ilvl w:val="0"/>
          <w:numId w:val="12"/>
        </w:numPr>
        <w:spacing w:after="120" w:line="240" w:lineRule="atLeast"/>
      </w:pPr>
      <w:r w:rsidRPr="0061511C">
        <w:t>credit to third parties</w:t>
      </w:r>
      <w:r w:rsidR="006264EC">
        <w:t>;</w:t>
      </w:r>
    </w:p>
    <w:p w14:paraId="33700470" w14:textId="77777777" w:rsidR="00622E2A" w:rsidRPr="00F53E16" w:rsidRDefault="00AE481D" w:rsidP="00EA610C">
      <w:pPr>
        <w:numPr>
          <w:ilvl w:val="0"/>
          <w:numId w:val="12"/>
        </w:numPr>
        <w:spacing w:after="120" w:line="240" w:lineRule="atLeast"/>
      </w:pPr>
      <w:r w:rsidRPr="0061511C">
        <w:t>s</w:t>
      </w:r>
      <w:r w:rsidR="00622E2A" w:rsidRPr="0061511C">
        <w:t xml:space="preserve">alary </w:t>
      </w:r>
      <w:r w:rsidR="00622E2A" w:rsidRPr="00807DAF">
        <w:t>costs of the personnel of national administrations</w:t>
      </w:r>
      <w:r w:rsidR="006264EC">
        <w:t>.</w:t>
      </w:r>
    </w:p>
    <w:p w14:paraId="6B67109B" w14:textId="77777777" w:rsidR="00B723AF" w:rsidRPr="00807DAF" w:rsidRDefault="00B723AF" w:rsidP="00EA610C">
      <w:pPr>
        <w:pStyle w:val="Guidelines3"/>
        <w:numPr>
          <w:ilvl w:val="2"/>
          <w:numId w:val="6"/>
        </w:numPr>
      </w:pPr>
      <w:bookmarkStart w:id="39" w:name="_Toc185257676"/>
      <w:r>
        <w:t xml:space="preserve">Ethics </w:t>
      </w:r>
      <w:r w:rsidR="005E2BB1">
        <w:t>and values</w:t>
      </w:r>
      <w:bookmarkEnd w:id="39"/>
    </w:p>
    <w:p w14:paraId="6BF4F4EE" w14:textId="77777777" w:rsidR="00A80223" w:rsidRPr="001B7D50" w:rsidRDefault="00A80223" w:rsidP="001B7D50">
      <w:pPr>
        <w:spacing w:after="120" w:line="240" w:lineRule="atLeast"/>
        <w:rPr>
          <w:b/>
          <w:bCs/>
        </w:rPr>
      </w:pPr>
      <w:r w:rsidRPr="001B7D50">
        <w:rPr>
          <w:b/>
          <w:bCs/>
        </w:rPr>
        <w:t>Absence of conflict of interest</w:t>
      </w:r>
    </w:p>
    <w:p w14:paraId="2F653A95" w14:textId="77777777" w:rsidR="00A80223" w:rsidRDefault="00A80223" w:rsidP="001B7D50">
      <w:pPr>
        <w:spacing w:after="120" w:line="240" w:lineRule="atLeast"/>
      </w:pPr>
      <w:r>
        <w:t>The applicant</w:t>
      </w:r>
      <w:r w:rsidRPr="002B370E">
        <w:t xml:space="preserve"> must not be affected by any conflict of interest and </w:t>
      </w:r>
      <w:r>
        <w:t>must</w:t>
      </w:r>
      <w:r w:rsidRPr="002B370E">
        <w:t xml:space="preserve"> have no equivalent relation in t</w:t>
      </w:r>
      <w:r>
        <w:t>hat respect with other applicants</w:t>
      </w:r>
      <w:r w:rsidRPr="002B370E">
        <w:t xml:space="preserve"> or</w:t>
      </w:r>
      <w:r>
        <w:t xml:space="preserve"> parties involved in the actions</w:t>
      </w:r>
      <w:r w:rsidRPr="002B370E">
        <w:t>.</w:t>
      </w:r>
      <w:r>
        <w:t xml:space="preserve"> </w:t>
      </w:r>
      <w:r w:rsidRPr="005C7F3E">
        <w:t xml:space="preserve">Any attempt </w:t>
      </w:r>
      <w:r>
        <w:t>by an applicant</w:t>
      </w:r>
      <w:r w:rsidRPr="005C7F3E">
        <w:t xml:space="preserve"> to obtain confidential information, enter into unlawful agreements with competitors or influence the evaluation committee or the contracting authority during the process of examining, clarifying, </w:t>
      </w:r>
      <w:r>
        <w:t>evaluating and comparing applications</w:t>
      </w:r>
      <w:r w:rsidRPr="005C7F3E">
        <w:t xml:space="preserve"> will lead to </w:t>
      </w:r>
      <w:r>
        <w:t>the rejection of its application</w:t>
      </w:r>
      <w:r w:rsidRPr="005C7F3E">
        <w:t xml:space="preserve"> and may result in </w:t>
      </w:r>
      <w:bookmarkStart w:id="40" w:name="_Hlk163806663"/>
      <w:r w:rsidR="005E2BB1">
        <w:t>exclusion decisions for other award procedures and/or financial penalties</w:t>
      </w:r>
      <w:bookmarkEnd w:id="40"/>
      <w:r>
        <w:t xml:space="preserve"> according to the Financial Regulation in force. </w:t>
      </w:r>
    </w:p>
    <w:p w14:paraId="5985442A" w14:textId="77777777" w:rsidR="00A80223" w:rsidRPr="001B7D50" w:rsidRDefault="00A80223" w:rsidP="001B7D50">
      <w:pPr>
        <w:spacing w:after="120" w:line="240" w:lineRule="atLeast"/>
        <w:rPr>
          <w:b/>
          <w:bCs/>
        </w:rPr>
      </w:pPr>
      <w:r w:rsidRPr="001B7D50">
        <w:rPr>
          <w:b/>
          <w:bCs/>
        </w:rPr>
        <w:t xml:space="preserve">Respect for environmental legislation and core labour standards </w:t>
      </w:r>
    </w:p>
    <w:p w14:paraId="6894D785" w14:textId="77777777" w:rsidR="00A80223" w:rsidRDefault="005E2BB1" w:rsidP="00F36C74">
      <w:pPr>
        <w:spacing w:after="120" w:line="240" w:lineRule="atLeast"/>
      </w:pPr>
      <w:r>
        <w:t>A</w:t>
      </w:r>
      <w:r w:rsidR="00876E0B" w:rsidRPr="005C7F3E">
        <w:t xml:space="preserve">pplicants </w:t>
      </w:r>
      <w:r w:rsidR="00A80223" w:rsidRPr="005C7F3E">
        <w:t xml:space="preserve">who </w:t>
      </w:r>
      <w:r>
        <w:t>are</w:t>
      </w:r>
      <w:r w:rsidR="00A80223" w:rsidRPr="005C7F3E">
        <w:t xml:space="preserve"> awarded </w:t>
      </w:r>
      <w:r>
        <w:t>a grant</w:t>
      </w:r>
      <w:r w:rsidRPr="005C7F3E">
        <w:t xml:space="preserve"> </w:t>
      </w:r>
      <w:r w:rsidR="00A80223" w:rsidRPr="005C7F3E">
        <w:t>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311D0879" w14:textId="77777777" w:rsidR="005E2BB1" w:rsidRDefault="005E2BB1" w:rsidP="00F36C74">
      <w:pPr>
        <w:spacing w:after="120" w:line="240" w:lineRule="atLeast"/>
        <w:rPr>
          <w:b/>
          <w:bCs/>
        </w:rPr>
      </w:pPr>
      <w:bookmarkStart w:id="41" w:name="_Hlk163806722"/>
      <w:r>
        <w:rPr>
          <w:b/>
          <w:bCs/>
        </w:rPr>
        <w:t>Respect of EU values</w:t>
      </w:r>
    </w:p>
    <w:p w14:paraId="41DAC6CD" w14:textId="77777777" w:rsidR="005E2BB1" w:rsidRPr="005E2BB1" w:rsidRDefault="005E2BB1" w:rsidP="001B7D50">
      <w:pPr>
        <w:spacing w:after="120" w:line="240" w:lineRule="atLeast"/>
      </w:pPr>
      <w:r w:rsidRPr="001B7D50">
        <w:t>Applicants who are awarded a grant must commit to and ensure the respect of basic EU values, such as respect for human dignity, freedom, democracy, equality, the rule of law and human rights, including the rights of minorities.</w:t>
      </w:r>
    </w:p>
    <w:bookmarkEnd w:id="41"/>
    <w:p w14:paraId="01096CD6" w14:textId="77777777" w:rsidR="00A80223" w:rsidRPr="00417585" w:rsidRDefault="001417D6" w:rsidP="001B7D50">
      <w:pPr>
        <w:pBdr>
          <w:top w:val="single" w:sz="4" w:space="1" w:color="auto"/>
          <w:left w:val="single" w:sz="4" w:space="4" w:color="auto"/>
          <w:bottom w:val="single" w:sz="4" w:space="1" w:color="auto"/>
          <w:right w:val="single" w:sz="4" w:space="4" w:color="auto"/>
        </w:pBdr>
        <w:spacing w:after="120" w:line="240" w:lineRule="atLeast"/>
        <w:rPr>
          <w:b/>
        </w:rPr>
      </w:pPr>
      <w:r>
        <w:rPr>
          <w:b/>
        </w:rPr>
        <w:br w:type="page"/>
      </w:r>
      <w:r w:rsidR="00A80223" w:rsidRPr="00417585">
        <w:rPr>
          <w:b/>
        </w:rPr>
        <w:lastRenderedPageBreak/>
        <w:t>Zero tolerance for sexual exploitation</w:t>
      </w:r>
      <w:r w:rsidR="000A486E">
        <w:rPr>
          <w:b/>
        </w:rPr>
        <w:t>,</w:t>
      </w:r>
      <w:r w:rsidR="000A486E" w:rsidRPr="00417585">
        <w:rPr>
          <w:b/>
        </w:rPr>
        <w:t xml:space="preserve"> abuse</w:t>
      </w:r>
      <w:r w:rsidR="00A20C55">
        <w:rPr>
          <w:b/>
        </w:rPr>
        <w:t xml:space="preserve"> and harassment</w:t>
      </w:r>
      <w:r w:rsidR="00A80223" w:rsidRPr="00417585">
        <w:rPr>
          <w:b/>
        </w:rPr>
        <w:t>:</w:t>
      </w:r>
    </w:p>
    <w:p w14:paraId="61A0F05B" w14:textId="77777777" w:rsidR="00A80223" w:rsidRPr="005C7F3E" w:rsidRDefault="00A80223" w:rsidP="001B7D50">
      <w:pPr>
        <w:pBdr>
          <w:top w:val="single" w:sz="4" w:space="1" w:color="auto"/>
          <w:left w:val="single" w:sz="4" w:space="4" w:color="auto"/>
          <w:bottom w:val="single" w:sz="4" w:space="1" w:color="auto"/>
          <w:right w:val="single" w:sz="4" w:space="4" w:color="auto"/>
        </w:pBdr>
        <w:spacing w:after="120" w:line="240" w:lineRule="atLeast"/>
      </w:pPr>
      <w:r w:rsidRPr="005C7F3E">
        <w:t>The European Commission applies a policy of 'zero tolerance' in relation to all wrongful conduct which has an impact on the profession</w:t>
      </w:r>
      <w:r>
        <w:t xml:space="preserve">al credibility of the </w:t>
      </w:r>
      <w:r w:rsidR="00876E0B">
        <w:t>applicant</w:t>
      </w:r>
      <w:r w:rsidR="00876E0B" w:rsidRPr="005C7F3E">
        <w:t xml:space="preserve">. </w:t>
      </w:r>
      <w:r w:rsidRPr="005C7F3E">
        <w:t xml:space="preserve"> </w:t>
      </w:r>
    </w:p>
    <w:p w14:paraId="7631D01D" w14:textId="77777777" w:rsidR="00A80223" w:rsidRDefault="00A80223" w:rsidP="001B7D50">
      <w:pPr>
        <w:pBdr>
          <w:top w:val="single" w:sz="4" w:space="1" w:color="auto"/>
          <w:left w:val="single" w:sz="4" w:space="4" w:color="auto"/>
          <w:bottom w:val="single" w:sz="4" w:space="1" w:color="auto"/>
          <w:right w:val="single" w:sz="4" w:space="4" w:color="auto"/>
        </w:pBdr>
        <w:spacing w:after="120" w:line="240" w:lineRule="atLeast"/>
      </w:pPr>
      <w:r w:rsidRPr="005C7F3E">
        <w:t>Physical abuse or punishment, or threats of physical abuse, sexual abuse or exploitation, harassment and verbal abuse, as well as other forms of inti</w:t>
      </w:r>
      <w:r>
        <w:t xml:space="preserve">midation shall be prohibited. </w:t>
      </w:r>
    </w:p>
    <w:p w14:paraId="7009D3E8" w14:textId="77777777" w:rsidR="000D46D7" w:rsidRDefault="00806F79" w:rsidP="001B7D50">
      <w:pPr>
        <w:pBdr>
          <w:top w:val="single" w:sz="4" w:space="1" w:color="auto"/>
          <w:left w:val="single" w:sz="4" w:space="4" w:color="auto"/>
          <w:bottom w:val="single" w:sz="4" w:space="1" w:color="auto"/>
          <w:right w:val="single" w:sz="4" w:space="4" w:color="auto"/>
        </w:pBdr>
        <w:spacing w:after="120" w:line="240" w:lineRule="atLeast"/>
      </w:pPr>
      <w:r>
        <w:t>Successful a</w:t>
      </w:r>
      <w:r w:rsidR="000D46D7" w:rsidRPr="00BA6979">
        <w:t>pplicants</w:t>
      </w:r>
      <w:r w:rsidR="00E14E59">
        <w:t xml:space="preserve"> </w:t>
      </w:r>
      <w:r w:rsidR="00686F88">
        <w:t>(</w:t>
      </w:r>
      <w:r w:rsidR="000D46D7" w:rsidRPr="00BA6979">
        <w:t>and affiliated entities</w:t>
      </w:r>
      <w:r w:rsidR="00686F88">
        <w:t>)</w:t>
      </w:r>
      <w:r w:rsidR="000D46D7" w:rsidRPr="00BA6979">
        <w:t xml:space="preserve"> other than (</w:t>
      </w:r>
      <w:proofErr w:type="spellStart"/>
      <w:r w:rsidR="000D46D7" w:rsidRPr="00BA6979">
        <w:t>i</w:t>
      </w:r>
      <w:proofErr w:type="spellEnd"/>
      <w:r w:rsidR="000D46D7" w:rsidRPr="00BA6979">
        <w:t>) natural persons (ii) pillar-assessed entities and (iii) governments and other publi</w:t>
      </w:r>
      <w:r w:rsidR="00420D0B" w:rsidRPr="00E14E59">
        <w:t>c bodies</w:t>
      </w:r>
      <w:r w:rsidR="00420D0B">
        <w:t xml:space="preserve">, </w:t>
      </w:r>
      <w:r w:rsidR="000D46D7" w:rsidRPr="00BA6979">
        <w:t xml:space="preserve">shall assess their internal policy </w:t>
      </w:r>
      <w:r w:rsidR="00E33C5B">
        <w:t>against</w:t>
      </w:r>
      <w:r w:rsidR="000D46D7" w:rsidRPr="00BA6979">
        <w:t xml:space="preserve"> sexual exploitation, abuse and harassment (SEA-H) through a self-ev</w:t>
      </w:r>
      <w:r w:rsidR="00826F51" w:rsidRPr="00826F51">
        <w:t>aluation questionnaire</w:t>
      </w:r>
      <w:r w:rsidR="00FF4778">
        <w:t xml:space="preserve"> (Annex L)</w:t>
      </w:r>
      <w:r w:rsidR="00420D0B">
        <w:t>.</w:t>
      </w:r>
      <w:r w:rsidR="000D46D7" w:rsidRPr="00BA6979">
        <w:t xml:space="preserve"> For grants of EUR 60 000 or less no self-evaluation is required. Such self-evaluation questionnaire is not part of the evaluation of the full application by the contracting authority, but is an administrative requirement. See section </w:t>
      </w:r>
      <w:r>
        <w:t>6.2.10.</w:t>
      </w:r>
      <w:r w:rsidR="000D46D7" w:rsidRPr="00BA6979">
        <w:t xml:space="preserve"> of </w:t>
      </w:r>
      <w:proofErr w:type="gramStart"/>
      <w:r w:rsidR="000D46D7" w:rsidRPr="00BA6979">
        <w:t xml:space="preserve">the </w:t>
      </w:r>
      <w:r w:rsidR="00937483">
        <w:t xml:space="preserve"> </w:t>
      </w:r>
      <w:r w:rsidR="009556E4">
        <w:t>practical</w:t>
      </w:r>
      <w:proofErr w:type="gramEnd"/>
      <w:r w:rsidR="009556E4">
        <w:t xml:space="preserve"> guide</w:t>
      </w:r>
      <w:r w:rsidR="000D46D7" w:rsidRPr="00BA6979">
        <w:t>.</w:t>
      </w:r>
    </w:p>
    <w:p w14:paraId="4413505C" w14:textId="77777777" w:rsidR="00A80223" w:rsidRPr="001B7D50" w:rsidRDefault="00A80223" w:rsidP="001B7D50">
      <w:pPr>
        <w:spacing w:after="120" w:line="240" w:lineRule="atLeast"/>
        <w:rPr>
          <w:b/>
          <w:bCs/>
        </w:rPr>
      </w:pPr>
      <w:r w:rsidRPr="001B7D50">
        <w:rPr>
          <w:b/>
          <w:bCs/>
        </w:rPr>
        <w:t xml:space="preserve">Anti-corruption and anti-bribery </w:t>
      </w:r>
    </w:p>
    <w:p w14:paraId="33FEB49C" w14:textId="77777777" w:rsidR="00A80223" w:rsidRDefault="00A80223" w:rsidP="001B7D50">
      <w:pPr>
        <w:spacing w:after="120" w:line="240" w:lineRule="atLeast"/>
      </w:pPr>
      <w:r>
        <w:t>The applicant</w:t>
      </w:r>
      <w:r w:rsidRPr="00417585">
        <w:t xml:space="preserve"> shall comply with all applicable laws and regulations and codes relating to anti-bribery and anti-corruption</w:t>
      </w:r>
      <w:r>
        <w:t xml:space="preserve">. </w:t>
      </w:r>
      <w:r w:rsidRPr="00417585">
        <w:t xml:space="preserve">The </w:t>
      </w:r>
      <w:r w:rsidR="00B723AF">
        <w:t>contracting authority</w:t>
      </w:r>
      <w:r w:rsidRPr="00417585">
        <w:t xml:space="preserve">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4D63A0AF" w14:textId="77777777" w:rsidR="00A80223" w:rsidRPr="001B7D50" w:rsidRDefault="00A80223" w:rsidP="001B7D50">
      <w:pPr>
        <w:spacing w:after="120" w:line="240" w:lineRule="atLeast"/>
        <w:rPr>
          <w:b/>
          <w:bCs/>
        </w:rPr>
      </w:pPr>
      <w:r w:rsidRPr="001B7D50">
        <w:rPr>
          <w:b/>
          <w:bCs/>
        </w:rPr>
        <w:t xml:space="preserve">Unusual commercial expenses </w:t>
      </w:r>
    </w:p>
    <w:p w14:paraId="02183584" w14:textId="77777777" w:rsidR="00A80223" w:rsidRPr="002B370E" w:rsidRDefault="00A80223" w:rsidP="001B7D50">
      <w:pPr>
        <w:spacing w:after="120" w:line="240" w:lineRule="atLeast"/>
      </w:pPr>
      <w:r>
        <w:t>Applications</w:t>
      </w:r>
      <w:r w:rsidRPr="002B370E">
        <w:t xml:space="preserve">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5C9B78E" w14:textId="77777777" w:rsidR="00A80223" w:rsidRDefault="00876E0B" w:rsidP="001B7D50">
      <w:pPr>
        <w:spacing w:after="120" w:line="240" w:lineRule="atLeast"/>
      </w:pPr>
      <w:r>
        <w:t>Grant beneficiaries</w:t>
      </w:r>
      <w:r w:rsidRPr="002B370E">
        <w:t xml:space="preserve"> </w:t>
      </w:r>
      <w:r w:rsidR="00A80223" w:rsidRPr="002B370E">
        <w:t>found to have paid unusual commercial expenses on projects funded by the European Union are liable, depending on the seriousness of the facts observed, to have their contracts terminated or to be excluded from receiving EU</w:t>
      </w:r>
      <w:r>
        <w:t>/EDF</w:t>
      </w:r>
      <w:r w:rsidR="00A80223" w:rsidRPr="002B370E">
        <w:t xml:space="preserve"> funds.</w:t>
      </w:r>
    </w:p>
    <w:p w14:paraId="5693C20A" w14:textId="77777777" w:rsidR="00A80223" w:rsidRPr="001B7D50" w:rsidRDefault="000C3776" w:rsidP="001B7D50">
      <w:pPr>
        <w:spacing w:after="120" w:line="240" w:lineRule="atLeast"/>
        <w:rPr>
          <w:b/>
          <w:bCs/>
          <w:szCs w:val="22"/>
        </w:rPr>
      </w:pPr>
      <w:r w:rsidRPr="001B7D50">
        <w:rPr>
          <w:b/>
          <w:bCs/>
          <w:szCs w:val="22"/>
        </w:rPr>
        <w:t>Breach of obligations</w:t>
      </w:r>
      <w:r w:rsidR="00A80223" w:rsidRPr="001B7D50">
        <w:rPr>
          <w:b/>
          <w:bCs/>
          <w:szCs w:val="22"/>
        </w:rPr>
        <w:t>, irregularities or fraud</w:t>
      </w:r>
    </w:p>
    <w:p w14:paraId="7D87E959" w14:textId="77777777" w:rsidR="00A80223" w:rsidRPr="00ED623A" w:rsidRDefault="00A80223" w:rsidP="001B7D50">
      <w:pPr>
        <w:spacing w:after="120" w:line="240" w:lineRule="atLeast"/>
        <w:rPr>
          <w:szCs w:val="22"/>
        </w:rPr>
      </w:pPr>
      <w:r w:rsidRPr="00725462">
        <w:rPr>
          <w:szCs w:val="22"/>
        </w:rPr>
        <w:t xml:space="preserve">The contracting authority reserves the right to suspend or cancel the procedure, where the award procedure proves to have been subject to substantial </w:t>
      </w:r>
      <w:r w:rsidR="000C3776">
        <w:rPr>
          <w:szCs w:val="22"/>
        </w:rPr>
        <w:t>breach of obligations</w:t>
      </w:r>
      <w:r w:rsidRPr="00725462">
        <w:rPr>
          <w:szCs w:val="22"/>
        </w:rPr>
        <w:t xml:space="preserve">, irregularities or fraud. If substantial </w:t>
      </w:r>
      <w:r w:rsidR="000C3776">
        <w:rPr>
          <w:szCs w:val="22"/>
        </w:rPr>
        <w:t>breach of obligations</w:t>
      </w:r>
      <w:r w:rsidRPr="00725462">
        <w:rPr>
          <w:szCs w:val="22"/>
        </w:rPr>
        <w:t>, irregularities or fraud are discovered after the award of the contract, the contracting authority may refrain from concluding the contract.</w:t>
      </w:r>
    </w:p>
    <w:p w14:paraId="620FF4DD" w14:textId="77777777" w:rsidR="00357CC0" w:rsidRDefault="0009588C" w:rsidP="00EA610C">
      <w:pPr>
        <w:pStyle w:val="Guidelines2"/>
        <w:numPr>
          <w:ilvl w:val="1"/>
          <w:numId w:val="6"/>
        </w:numPr>
      </w:pPr>
      <w:bookmarkStart w:id="42" w:name="_Toc185257677"/>
      <w:r w:rsidRPr="00807DAF">
        <w:t>H</w:t>
      </w:r>
      <w:r w:rsidR="00357CC0" w:rsidRPr="00807DAF">
        <w:t>ow to apply and the procedures to follow</w:t>
      </w:r>
      <w:bookmarkEnd w:id="42"/>
    </w:p>
    <w:p w14:paraId="1931B41B" w14:textId="77777777" w:rsidR="00F657C9" w:rsidRDefault="00F657C9" w:rsidP="00F36C74">
      <w:pPr>
        <w:spacing w:after="120" w:line="240" w:lineRule="atLeast"/>
      </w:pPr>
      <w:r>
        <w:t>To apply for this call for proposals the lead applicants need to:</w:t>
      </w:r>
    </w:p>
    <w:p w14:paraId="22D71FEA" w14:textId="77777777" w:rsidR="007A78B8" w:rsidRPr="001B7D50" w:rsidRDefault="00F657C9" w:rsidP="00EA610C">
      <w:pPr>
        <w:numPr>
          <w:ilvl w:val="0"/>
          <w:numId w:val="23"/>
        </w:numPr>
        <w:spacing w:after="120" w:line="240" w:lineRule="atLeast"/>
        <w:ind w:left="284" w:hanging="142"/>
        <w:rPr>
          <w:b/>
          <w:bCs/>
        </w:rPr>
      </w:pPr>
      <w:r w:rsidRPr="001B7D50">
        <w:rPr>
          <w:b/>
          <w:bCs/>
        </w:rPr>
        <w:t xml:space="preserve">Provide information about the organisations involved in the action. </w:t>
      </w:r>
    </w:p>
    <w:p w14:paraId="31F01F03" w14:textId="77777777" w:rsidR="007A78B8" w:rsidRDefault="007A78B8" w:rsidP="00F36C74">
      <w:pPr>
        <w:spacing w:after="120" w:line="240" w:lineRule="atLeast"/>
      </w:pPr>
      <w:r>
        <w:t>L</w:t>
      </w:r>
      <w:r w:rsidR="00FD39C8">
        <w:t>ead applicants, co-applicant</w:t>
      </w:r>
      <w:r w:rsidR="004D4EF0">
        <w:t>s and affiliated entities</w:t>
      </w:r>
      <w:r>
        <w:t xml:space="preserve">, other than natural persons, </w:t>
      </w:r>
      <w:r w:rsidR="004D4EF0">
        <w:t>must</w:t>
      </w:r>
      <w:r w:rsidR="00FD39C8">
        <w:t xml:space="preserve"> register in PADOR</w:t>
      </w:r>
      <w:r w:rsidR="008306EA">
        <w:rPr>
          <w:rStyle w:val="Funotenzeichen"/>
        </w:rPr>
        <w:footnoteReference w:id="16"/>
      </w:r>
      <w:r w:rsidR="00FD39C8">
        <w:t xml:space="preserve">. </w:t>
      </w:r>
    </w:p>
    <w:p w14:paraId="63E2891C" w14:textId="77777777" w:rsidR="007A78B8" w:rsidRDefault="007A78B8" w:rsidP="00F36C74">
      <w:pPr>
        <w:spacing w:after="120" w:line="240" w:lineRule="atLeast"/>
        <w:rPr>
          <w:color w:val="000000"/>
        </w:rPr>
      </w:pPr>
      <w:r w:rsidRPr="00807DAF">
        <w:rPr>
          <w:color w:val="000000"/>
        </w:rPr>
        <w:t>PADOR is an on-line database in which organis</w:t>
      </w:r>
      <w:r>
        <w:rPr>
          <w:color w:val="000000"/>
        </w:rPr>
        <w:t>ations register and update</w:t>
      </w:r>
      <w:r w:rsidRPr="00807DAF">
        <w:rPr>
          <w:color w:val="000000"/>
        </w:rPr>
        <w:t xml:space="preserve"> </w:t>
      </w:r>
      <w:r>
        <w:rPr>
          <w:color w:val="000000"/>
        </w:rPr>
        <w:t xml:space="preserve">information concerning their entity. Organisations registered in PADOR get a unique ID (EuropeAid ID) which they </w:t>
      </w:r>
      <w:r w:rsidRPr="001606C0">
        <w:rPr>
          <w:b/>
          <w:color w:val="000000"/>
        </w:rPr>
        <w:t>must mention</w:t>
      </w:r>
      <w:r>
        <w:rPr>
          <w:color w:val="000000"/>
        </w:rPr>
        <w:t xml:space="preserve"> in their application. </w:t>
      </w:r>
    </w:p>
    <w:p w14:paraId="04B2DAE8" w14:textId="77777777" w:rsidR="007A78B8" w:rsidRDefault="007A78B8" w:rsidP="00F36C74">
      <w:pPr>
        <w:spacing w:after="120" w:line="240" w:lineRule="atLeast"/>
        <w:rPr>
          <w:color w:val="000000"/>
        </w:rPr>
      </w:pPr>
      <w:r>
        <w:rPr>
          <w:color w:val="000000"/>
        </w:rPr>
        <w:t>PADOR is accessible</w:t>
      </w:r>
      <w:r w:rsidRPr="00807DAF">
        <w:rPr>
          <w:color w:val="000000"/>
        </w:rPr>
        <w:t xml:space="preserve"> </w:t>
      </w:r>
      <w:r>
        <w:rPr>
          <w:color w:val="000000"/>
        </w:rPr>
        <w:t>via</w:t>
      </w:r>
      <w:r w:rsidRPr="00807DAF">
        <w:rPr>
          <w:color w:val="000000"/>
        </w:rPr>
        <w:t xml:space="preserve"> the website:</w:t>
      </w:r>
      <w:r>
        <w:rPr>
          <w:color w:val="000000"/>
        </w:rPr>
        <w:t xml:space="preserve"> </w:t>
      </w:r>
      <w:hyperlink r:id="rId19" w:history="1">
        <w:r w:rsidRPr="000408E7">
          <w:rPr>
            <w:rStyle w:val="Hyperlink"/>
          </w:rPr>
          <w:t>https://webgate.ec.europa.eu/pador</w:t>
        </w:r>
      </w:hyperlink>
      <w:r>
        <w:rPr>
          <w:color w:val="000000"/>
        </w:rPr>
        <w:t xml:space="preserve">  </w:t>
      </w:r>
    </w:p>
    <w:p w14:paraId="5C84A0B0" w14:textId="77777777" w:rsidR="00D00ABA" w:rsidRDefault="004D4EF0" w:rsidP="00F36C74">
      <w:pPr>
        <w:spacing w:after="120" w:line="240" w:lineRule="atLeast"/>
      </w:pPr>
      <w:bookmarkStart w:id="43" w:name="_Hlk163807081"/>
      <w:r>
        <w:t>L</w:t>
      </w:r>
      <w:r w:rsidR="00643B20">
        <w:t xml:space="preserve">ead applicants </w:t>
      </w:r>
      <w:r w:rsidR="00FD39C8">
        <w:t xml:space="preserve">must register at the concept note step. </w:t>
      </w:r>
      <w:r w:rsidR="00643B20">
        <w:t>Co-applicants and affiliated entities must register at the full application step; lead applicants must make sure that their PADOR profile is up to date</w:t>
      </w:r>
      <w:r w:rsidR="00FD39C8">
        <w:t>.</w:t>
      </w:r>
      <w:r w:rsidR="00FD39C8" w:rsidDel="00FD39C8">
        <w:t xml:space="preserve"> </w:t>
      </w:r>
    </w:p>
    <w:p w14:paraId="671578CB" w14:textId="77777777" w:rsidR="005354AC" w:rsidRDefault="00F657C9" w:rsidP="00F36C74">
      <w:pPr>
        <w:spacing w:after="120" w:line="240" w:lineRule="atLeast"/>
        <w:rPr>
          <w:color w:val="000000"/>
          <w:lang w:eastAsia="en-GB"/>
        </w:rPr>
      </w:pPr>
      <w:r>
        <w:lastRenderedPageBreak/>
        <w:t>Please note that the r</w:t>
      </w:r>
      <w:r w:rsidRPr="00807DAF">
        <w:t>egistration</w:t>
      </w:r>
      <w:r>
        <w:t xml:space="preserve"> of this data in </w:t>
      </w:r>
      <w:r w:rsidRPr="00743599">
        <w:rPr>
          <w:b/>
        </w:rPr>
        <w:t>PADOR is obligatory</w:t>
      </w:r>
      <w:r w:rsidRPr="00807DAF">
        <w:t xml:space="preserve"> for this </w:t>
      </w:r>
      <w:r>
        <w:t>c</w:t>
      </w:r>
      <w:r w:rsidRPr="00807DAF">
        <w:t xml:space="preserve">all for </w:t>
      </w:r>
      <w:r>
        <w:t>p</w:t>
      </w:r>
      <w:r w:rsidRPr="00807DAF">
        <w:t>roposals</w:t>
      </w:r>
      <w:r w:rsidR="00D00ABA">
        <w:t>.</w:t>
      </w:r>
      <w:bookmarkEnd w:id="43"/>
      <w:r w:rsidR="00D00ABA">
        <w:t xml:space="preserve"> </w:t>
      </w:r>
      <w:bookmarkStart w:id="44" w:name="_Hlk164272705"/>
      <w:r w:rsidR="00B516DD">
        <w:rPr>
          <w:color w:val="000000"/>
        </w:rPr>
        <w:t>I</w:t>
      </w:r>
      <w:r w:rsidR="00B516DD" w:rsidRPr="00807DAF">
        <w:rPr>
          <w:color w:val="000000"/>
        </w:rPr>
        <w:t xml:space="preserve">f it is impossible to register </w:t>
      </w:r>
      <w:r w:rsidR="00B516DD">
        <w:rPr>
          <w:color w:val="000000"/>
        </w:rPr>
        <w:t xml:space="preserve">online </w:t>
      </w:r>
      <w:r w:rsidR="00B516DD" w:rsidRPr="00807DAF">
        <w:rPr>
          <w:color w:val="000000"/>
        </w:rPr>
        <w:t>in PADOR</w:t>
      </w:r>
      <w:r w:rsidR="00B516DD">
        <w:rPr>
          <w:color w:val="000000"/>
        </w:rPr>
        <w:t xml:space="preserve"> for technical reasons</w:t>
      </w:r>
      <w:r w:rsidR="004258BC">
        <w:rPr>
          <w:color w:val="000000"/>
        </w:rPr>
        <w:t xml:space="preserve"> or for </w:t>
      </w:r>
      <w:r w:rsidR="004258BC" w:rsidRPr="004258BC">
        <w:rPr>
          <w:color w:val="000000"/>
          <w:lang w:eastAsia="en-GB"/>
        </w:rPr>
        <w:t>security and confidentiality concerns</w:t>
      </w:r>
      <w:r w:rsidR="00B516DD" w:rsidRPr="00807DAF">
        <w:rPr>
          <w:color w:val="000000"/>
        </w:rPr>
        <w:t xml:space="preserve">, </w:t>
      </w:r>
      <w:bookmarkEnd w:id="44"/>
      <w:r w:rsidR="00D50A77">
        <w:rPr>
          <w:color w:val="000000"/>
          <w:lang w:eastAsia="en-GB"/>
        </w:rPr>
        <w:t>lead applicants, co-</w:t>
      </w:r>
      <w:r w:rsidR="00B516DD" w:rsidRPr="00807DAF">
        <w:rPr>
          <w:color w:val="000000"/>
          <w:lang w:eastAsia="en-GB"/>
        </w:rPr>
        <w:t>applicants and/or affiliated entity(</w:t>
      </w:r>
      <w:proofErr w:type="spellStart"/>
      <w:r w:rsidR="00B516DD" w:rsidRPr="00807DAF">
        <w:rPr>
          <w:color w:val="000000"/>
          <w:lang w:eastAsia="en-GB"/>
        </w:rPr>
        <w:t>ies</w:t>
      </w:r>
      <w:proofErr w:type="spellEnd"/>
      <w:r w:rsidR="00B516DD" w:rsidRPr="00807DAF">
        <w:rPr>
          <w:color w:val="000000"/>
          <w:lang w:eastAsia="en-GB"/>
        </w:rPr>
        <w:t xml:space="preserve">) must complete the ‘PADOR </w:t>
      </w:r>
      <w:r w:rsidR="002421FF">
        <w:rPr>
          <w:color w:val="000000"/>
          <w:lang w:eastAsia="en-GB"/>
        </w:rPr>
        <w:t>registration</w:t>
      </w:r>
      <w:r w:rsidR="00B516DD" w:rsidRPr="00807DAF">
        <w:rPr>
          <w:color w:val="000000"/>
          <w:lang w:eastAsia="en-GB"/>
        </w:rPr>
        <w:t xml:space="preserve"> form</w:t>
      </w:r>
      <w:r w:rsidR="00B516DD" w:rsidRPr="00807DAF">
        <w:rPr>
          <w:rStyle w:val="Funotenzeichen"/>
        </w:rPr>
        <w:footnoteReference w:id="17"/>
      </w:r>
      <w:r w:rsidR="00B516DD" w:rsidRPr="00807DAF">
        <w:rPr>
          <w:color w:val="000000"/>
          <w:lang w:eastAsia="en-GB"/>
        </w:rPr>
        <w:t xml:space="preserve"> attached to these </w:t>
      </w:r>
      <w:r w:rsidR="00B516DD">
        <w:rPr>
          <w:color w:val="000000"/>
          <w:lang w:eastAsia="en-GB"/>
        </w:rPr>
        <w:t>g</w:t>
      </w:r>
      <w:r w:rsidR="00B516DD" w:rsidRPr="00807DAF">
        <w:rPr>
          <w:color w:val="000000"/>
          <w:lang w:eastAsia="en-GB"/>
        </w:rPr>
        <w:t>uidelines</w:t>
      </w:r>
      <w:r w:rsidR="00B516DD">
        <w:rPr>
          <w:color w:val="000000"/>
          <w:lang w:eastAsia="en-GB"/>
        </w:rPr>
        <w:t>. This form</w:t>
      </w:r>
      <w:r w:rsidR="00B516DD" w:rsidRPr="00807DAF">
        <w:rPr>
          <w:color w:val="000000"/>
          <w:lang w:eastAsia="en-GB"/>
        </w:rPr>
        <w:t xml:space="preserve"> </w:t>
      </w:r>
      <w:r w:rsidR="00B516DD">
        <w:rPr>
          <w:color w:val="000000"/>
          <w:lang w:eastAsia="en-GB"/>
        </w:rPr>
        <w:t xml:space="preserve">must be </w:t>
      </w:r>
      <w:r w:rsidR="00B516DD" w:rsidRPr="00807DAF">
        <w:rPr>
          <w:color w:val="000000"/>
          <w:lang w:eastAsia="en-GB"/>
        </w:rPr>
        <w:t>sen</w:t>
      </w:r>
      <w:r w:rsidR="00B516DD">
        <w:rPr>
          <w:color w:val="000000"/>
          <w:lang w:eastAsia="en-GB"/>
        </w:rPr>
        <w:t>t</w:t>
      </w:r>
      <w:r w:rsidR="00B516DD" w:rsidRPr="00807DAF">
        <w:rPr>
          <w:color w:val="000000"/>
          <w:lang w:eastAsia="en-GB"/>
        </w:rPr>
        <w:t xml:space="preserve"> </w:t>
      </w:r>
      <w:r w:rsidR="00B516DD" w:rsidRPr="007904B1">
        <w:rPr>
          <w:b/>
          <w:color w:val="000000"/>
          <w:u w:val="single"/>
          <w:lang w:eastAsia="en-GB"/>
        </w:rPr>
        <w:t xml:space="preserve">together with the </w:t>
      </w:r>
      <w:r w:rsidR="00FE6094">
        <w:rPr>
          <w:b/>
          <w:color w:val="000000"/>
          <w:u w:val="single"/>
          <w:lang w:eastAsia="en-GB"/>
        </w:rPr>
        <w:t xml:space="preserve">full </w:t>
      </w:r>
      <w:r w:rsidR="00B516DD" w:rsidRPr="007904B1">
        <w:rPr>
          <w:b/>
          <w:color w:val="000000"/>
          <w:u w:val="single"/>
          <w:lang w:eastAsia="en-GB"/>
        </w:rPr>
        <w:t>application</w:t>
      </w:r>
      <w:r w:rsidR="00B516DD">
        <w:rPr>
          <w:b/>
          <w:color w:val="000000"/>
          <w:u w:val="single"/>
          <w:lang w:eastAsia="en-GB"/>
        </w:rPr>
        <w:t xml:space="preserve">, </w:t>
      </w:r>
      <w:r w:rsidR="00B516DD" w:rsidRPr="00807DAF">
        <w:rPr>
          <w:color w:val="000000"/>
          <w:lang w:eastAsia="en-GB"/>
        </w:rPr>
        <w:t>by the submission deadline</w:t>
      </w:r>
      <w:r w:rsidR="00B516DD">
        <w:rPr>
          <w:color w:val="000000"/>
          <w:lang w:eastAsia="en-GB"/>
        </w:rPr>
        <w:t xml:space="preserve"> (see </w:t>
      </w:r>
      <w:r w:rsidR="00D00ABA">
        <w:rPr>
          <w:color w:val="000000"/>
          <w:lang w:eastAsia="en-GB"/>
        </w:rPr>
        <w:t xml:space="preserve">Section </w:t>
      </w:r>
      <w:r w:rsidR="00B516DD">
        <w:rPr>
          <w:color w:val="000000"/>
          <w:lang w:eastAsia="en-GB"/>
        </w:rPr>
        <w:t xml:space="preserve">2.2.5). </w:t>
      </w:r>
    </w:p>
    <w:p w14:paraId="3DC8036D" w14:textId="77777777" w:rsidR="00D00ABA" w:rsidRDefault="005354AC" w:rsidP="00F36C74">
      <w:pPr>
        <w:spacing w:after="120" w:line="240" w:lineRule="atLeast"/>
        <w:rPr>
          <w:iCs/>
          <w:snapToGrid w:val="0"/>
          <w:lang w:val="en-IE"/>
        </w:rPr>
      </w:pPr>
      <w:r w:rsidRPr="001937BC">
        <w:rPr>
          <w:iCs/>
          <w:snapToGrid w:val="0"/>
          <w:lang w:val="en-IE"/>
        </w:rPr>
        <w:t>The European Commission external action DGs (DG INTPA, DG NEAR, FPI)</w:t>
      </w:r>
      <w:r w:rsidR="00D00ABA">
        <w:rPr>
          <w:iCs/>
          <w:snapToGrid w:val="0"/>
          <w:lang w:val="en-IE"/>
        </w:rPr>
        <w:t xml:space="preserve"> </w:t>
      </w:r>
      <w:r w:rsidRPr="001937BC">
        <w:rPr>
          <w:iCs/>
          <w:snapToGrid w:val="0"/>
          <w:lang w:val="en-IE"/>
        </w:rPr>
        <w:t xml:space="preserve">are migrating the management of their </w:t>
      </w:r>
      <w:r>
        <w:rPr>
          <w:iCs/>
          <w:snapToGrid w:val="0"/>
          <w:lang w:val="en-IE"/>
        </w:rPr>
        <w:t xml:space="preserve">calls and </w:t>
      </w:r>
      <w:r w:rsidRPr="001937BC">
        <w:rPr>
          <w:iCs/>
          <w:snapToGrid w:val="0"/>
          <w:lang w:val="en-IE"/>
        </w:rPr>
        <w:t xml:space="preserve">contracts to an online portal based on a register of organisations participating in EU calls for proposals. This online register will apply the "once only" principle: data related to an organisation needs to be submitted only once. </w:t>
      </w:r>
      <w:r w:rsidR="00BD0B78">
        <w:rPr>
          <w:iCs/>
          <w:snapToGrid w:val="0"/>
          <w:lang w:val="en-IE"/>
        </w:rPr>
        <w:t>T</w:t>
      </w:r>
      <w:r w:rsidRPr="001937BC">
        <w:rPr>
          <w:iCs/>
          <w:snapToGrid w:val="0"/>
          <w:lang w:val="en-IE"/>
        </w:rPr>
        <w:t xml:space="preserve">his portal will be used as a communication platform for the management of </w:t>
      </w:r>
      <w:r>
        <w:rPr>
          <w:iCs/>
          <w:snapToGrid w:val="0"/>
          <w:lang w:val="en-IE"/>
        </w:rPr>
        <w:t xml:space="preserve">the </w:t>
      </w:r>
      <w:r w:rsidRPr="001937BC">
        <w:rPr>
          <w:iCs/>
          <w:snapToGrid w:val="0"/>
          <w:lang w:val="en-IE"/>
        </w:rPr>
        <w:t>con</w:t>
      </w:r>
      <w:r w:rsidR="00BD0B78">
        <w:rPr>
          <w:iCs/>
          <w:snapToGrid w:val="0"/>
          <w:lang w:val="en-IE"/>
        </w:rPr>
        <w:t xml:space="preserve">tract(s). </w:t>
      </w:r>
      <w:r w:rsidRPr="001937BC">
        <w:rPr>
          <w:iCs/>
          <w:snapToGrid w:val="0"/>
          <w:lang w:val="en-IE"/>
        </w:rPr>
        <w:t xml:space="preserve">Since you are in the process of </w:t>
      </w:r>
      <w:r>
        <w:rPr>
          <w:iCs/>
          <w:snapToGrid w:val="0"/>
          <w:lang w:val="en-IE"/>
        </w:rPr>
        <w:t xml:space="preserve">applying for a call for proposals </w:t>
      </w:r>
      <w:r w:rsidRPr="001937BC">
        <w:rPr>
          <w:iCs/>
          <w:snapToGrid w:val="0"/>
          <w:lang w:val="en-IE"/>
        </w:rPr>
        <w:t xml:space="preserve">financed by DG INTPA, DG NEAR or FPI, it is </w:t>
      </w:r>
      <w:r w:rsidR="00BD0B78">
        <w:rPr>
          <w:iCs/>
          <w:snapToGrid w:val="0"/>
          <w:lang w:val="en-IE"/>
        </w:rPr>
        <w:t xml:space="preserve">mandatory </w:t>
      </w:r>
      <w:r w:rsidRPr="001937BC">
        <w:rPr>
          <w:iCs/>
          <w:snapToGrid w:val="0"/>
          <w:lang w:val="en-IE"/>
        </w:rPr>
        <w:t xml:space="preserve">to register now in the </w:t>
      </w:r>
      <w:r w:rsidR="00D00ABA">
        <w:rPr>
          <w:iCs/>
          <w:snapToGrid w:val="0"/>
          <w:lang w:val="en-IE"/>
        </w:rPr>
        <w:t xml:space="preserve">European </w:t>
      </w:r>
      <w:r w:rsidRPr="001937BC">
        <w:rPr>
          <w:iCs/>
          <w:snapToGrid w:val="0"/>
          <w:lang w:val="en-IE"/>
        </w:rPr>
        <w:t xml:space="preserve">Commission’s Participant </w:t>
      </w:r>
      <w:r w:rsidR="00D00ABA">
        <w:rPr>
          <w:iCs/>
          <w:snapToGrid w:val="0"/>
          <w:lang w:val="en-IE"/>
        </w:rPr>
        <w:t>R</w:t>
      </w:r>
      <w:r w:rsidRPr="001937BC">
        <w:rPr>
          <w:iCs/>
          <w:snapToGrid w:val="0"/>
          <w:lang w:val="en-IE"/>
        </w:rPr>
        <w:t xml:space="preserve">egister. </w:t>
      </w:r>
    </w:p>
    <w:p w14:paraId="3D3833DB" w14:textId="77777777" w:rsidR="005354AC" w:rsidRDefault="005354AC" w:rsidP="00F36C74">
      <w:pPr>
        <w:spacing w:after="120" w:line="240" w:lineRule="atLeast"/>
        <w:rPr>
          <w:iCs/>
          <w:snapToGrid w:val="0"/>
          <w:lang w:val="en-IE"/>
        </w:rPr>
      </w:pPr>
      <w:r w:rsidRPr="001937BC">
        <w:rPr>
          <w:iCs/>
          <w:snapToGrid w:val="0"/>
          <w:lang w:val="en-IE"/>
        </w:rPr>
        <w:t xml:space="preserve">This Participant Register will act as an entry point to the </w:t>
      </w:r>
      <w:r>
        <w:rPr>
          <w:iCs/>
          <w:snapToGrid w:val="0"/>
          <w:lang w:val="en-IE"/>
        </w:rPr>
        <w:t xml:space="preserve">future call and </w:t>
      </w:r>
      <w:r w:rsidRPr="001937BC">
        <w:rPr>
          <w:iCs/>
          <w:snapToGrid w:val="0"/>
          <w:lang w:val="en-IE"/>
        </w:rPr>
        <w:t xml:space="preserve">contract management portal. By registering you will obtain a Participant Identification Code (PIC, 9-digit number) which will act as your unique identifier. Registration is free of charge. Not registering your organisation might create technical difficulties with the </w:t>
      </w:r>
      <w:r>
        <w:rPr>
          <w:iCs/>
          <w:snapToGrid w:val="0"/>
          <w:lang w:val="en-IE"/>
        </w:rPr>
        <w:t xml:space="preserve">future data </w:t>
      </w:r>
      <w:r w:rsidRPr="001937BC">
        <w:rPr>
          <w:iCs/>
          <w:snapToGrid w:val="0"/>
          <w:lang w:val="en-IE"/>
        </w:rPr>
        <w:t xml:space="preserve">migration. </w:t>
      </w:r>
    </w:p>
    <w:p w14:paraId="302A286F" w14:textId="77777777" w:rsidR="005354AC" w:rsidRPr="001B7D50" w:rsidRDefault="00D00ABA" w:rsidP="00F36C74">
      <w:pPr>
        <w:spacing w:after="120" w:line="240" w:lineRule="atLeast"/>
        <w:rPr>
          <w:i/>
          <w:iCs/>
          <w:snapToGrid w:val="0"/>
          <w:lang w:val="en-IE"/>
        </w:rPr>
      </w:pPr>
      <w:r>
        <w:rPr>
          <w:iCs/>
          <w:snapToGrid w:val="0"/>
          <w:lang w:val="en-IE"/>
        </w:rPr>
        <w:t xml:space="preserve">To apply for this call for proposal, it is </w:t>
      </w:r>
      <w:r w:rsidR="00BD0B78">
        <w:rPr>
          <w:iCs/>
          <w:snapToGrid w:val="0"/>
          <w:lang w:val="en-IE"/>
        </w:rPr>
        <w:t>mandatory</w:t>
      </w:r>
      <w:r>
        <w:rPr>
          <w:iCs/>
          <w:snapToGrid w:val="0"/>
          <w:lang w:val="en-IE"/>
        </w:rPr>
        <w:t xml:space="preserve"> for the lead and co-applicants to register in the </w:t>
      </w:r>
      <w:hyperlink r:id="rId20" w:history="1">
        <w:r w:rsidRPr="00B25846">
          <w:rPr>
            <w:rStyle w:val="Hyperlink"/>
            <w:b/>
            <w:bCs/>
            <w:iCs/>
            <w:snapToGrid w:val="0"/>
            <w:lang w:val="en-IE"/>
          </w:rPr>
          <w:t>Participant Register</w:t>
        </w:r>
      </w:hyperlink>
      <w:r>
        <w:rPr>
          <w:iCs/>
          <w:snapToGrid w:val="0"/>
          <w:lang w:val="en-IE"/>
        </w:rPr>
        <w:t xml:space="preserve">. </w:t>
      </w:r>
      <w:r w:rsidR="005354AC" w:rsidRPr="001937BC">
        <w:rPr>
          <w:iCs/>
          <w:snapToGrid w:val="0"/>
          <w:lang w:val="en-IE"/>
        </w:rPr>
        <w:t>In order to register your organisation, please follow this link:</w:t>
      </w:r>
      <w:r w:rsidR="005354AC" w:rsidRPr="001937BC">
        <w:rPr>
          <w:i/>
          <w:iCs/>
          <w:snapToGrid w:val="0"/>
          <w:lang w:val="en-IE"/>
        </w:rPr>
        <w:t xml:space="preserve"> </w:t>
      </w:r>
      <w:hyperlink r:id="rId21" w:history="1">
        <w:r w:rsidR="005354AC" w:rsidRPr="001937BC">
          <w:rPr>
            <w:rStyle w:val="Hyperlink"/>
            <w:i/>
            <w:iCs/>
            <w:snapToGrid w:val="0"/>
            <w:lang w:val="en-IE"/>
          </w:rPr>
          <w:t>https://ec.europa.eu/info/funding-tenders/opportunities/portal/screen/how-to-participate/participant-register</w:t>
        </w:r>
      </w:hyperlink>
      <w:r w:rsidR="005354AC" w:rsidRPr="001937BC">
        <w:rPr>
          <w:i/>
          <w:iCs/>
          <w:snapToGrid w:val="0"/>
          <w:lang w:val="en-IE"/>
        </w:rPr>
        <w:t xml:space="preserve">. </w:t>
      </w:r>
    </w:p>
    <w:p w14:paraId="5C5DF5ED" w14:textId="77777777" w:rsidR="007A78B8" w:rsidRPr="001B7D50" w:rsidRDefault="00F657C9" w:rsidP="00EA610C">
      <w:pPr>
        <w:numPr>
          <w:ilvl w:val="0"/>
          <w:numId w:val="23"/>
        </w:numPr>
        <w:spacing w:after="120" w:line="240" w:lineRule="atLeast"/>
        <w:ind w:left="284" w:hanging="142"/>
        <w:rPr>
          <w:b/>
          <w:bCs/>
        </w:rPr>
      </w:pPr>
      <w:r w:rsidRPr="001B7D50">
        <w:rPr>
          <w:b/>
          <w:bCs/>
        </w:rPr>
        <w:t>Provide information about the action in the documents listed under sections 2.2.2 (</w:t>
      </w:r>
      <w:r w:rsidR="008E2371" w:rsidRPr="001B7D50">
        <w:rPr>
          <w:b/>
          <w:bCs/>
        </w:rPr>
        <w:t xml:space="preserve">Where and how to send </w:t>
      </w:r>
      <w:r w:rsidRPr="001B7D50">
        <w:rPr>
          <w:b/>
          <w:bCs/>
        </w:rPr>
        <w:t>concept note</w:t>
      </w:r>
      <w:r w:rsidR="008E2371" w:rsidRPr="001B7D50">
        <w:rPr>
          <w:b/>
          <w:bCs/>
        </w:rPr>
        <w:t>s</w:t>
      </w:r>
      <w:r w:rsidRPr="001B7D50">
        <w:rPr>
          <w:b/>
          <w:bCs/>
        </w:rPr>
        <w:t>) and 2.2.5 (</w:t>
      </w:r>
      <w:r w:rsidR="008E2371" w:rsidRPr="001B7D50">
        <w:rPr>
          <w:b/>
          <w:bCs/>
        </w:rPr>
        <w:t>F</w:t>
      </w:r>
      <w:r w:rsidRPr="001B7D50">
        <w:rPr>
          <w:b/>
          <w:bCs/>
        </w:rPr>
        <w:t>ull application</w:t>
      </w:r>
      <w:r w:rsidR="008E2371" w:rsidRPr="001B7D50">
        <w:rPr>
          <w:b/>
          <w:bCs/>
        </w:rPr>
        <w:t>s</w:t>
      </w:r>
      <w:r w:rsidRPr="001B7D50">
        <w:rPr>
          <w:b/>
          <w:bCs/>
        </w:rPr>
        <w:t xml:space="preserve">). </w:t>
      </w:r>
    </w:p>
    <w:p w14:paraId="1BB06981" w14:textId="77777777" w:rsidR="00D00ABA" w:rsidRDefault="00F657C9" w:rsidP="00F36C74">
      <w:pPr>
        <w:spacing w:after="120" w:line="240" w:lineRule="atLeast"/>
        <w:rPr>
          <w:b/>
        </w:rPr>
      </w:pPr>
      <w:r>
        <w:t xml:space="preserve">Please note that online submission via </w:t>
      </w:r>
      <w:r w:rsidRPr="00743599">
        <w:rPr>
          <w:b/>
        </w:rPr>
        <w:t>PROSPECT is obligatory</w:t>
      </w:r>
      <w:r>
        <w:t xml:space="preserve"> for this call</w:t>
      </w:r>
      <w:r w:rsidR="00AD295A">
        <w:t>.</w:t>
      </w:r>
    </w:p>
    <w:p w14:paraId="59CC3CA0" w14:textId="77777777" w:rsidR="00F657C9" w:rsidRPr="00807DAF" w:rsidRDefault="00F657C9" w:rsidP="00F36C74">
      <w:pPr>
        <w:pBdr>
          <w:top w:val="single" w:sz="4" w:space="1" w:color="auto"/>
          <w:left w:val="single" w:sz="4" w:space="4" w:color="auto"/>
          <w:bottom w:val="single" w:sz="4" w:space="1" w:color="auto"/>
          <w:right w:val="single" w:sz="4" w:space="4" w:color="auto"/>
        </w:pBdr>
        <w:spacing w:after="120" w:line="240" w:lineRule="atLeast"/>
      </w:pPr>
      <w:r w:rsidRPr="00A73F08">
        <w:rPr>
          <w:b/>
        </w:rPr>
        <w:t xml:space="preserve">It is strongly recommended to register in PADOR </w:t>
      </w:r>
      <w:r>
        <w:rPr>
          <w:b/>
        </w:rPr>
        <w:t xml:space="preserve">well in advance </w:t>
      </w:r>
      <w:r w:rsidRPr="00A73F08">
        <w:rPr>
          <w:b/>
        </w:rPr>
        <w:t xml:space="preserve">and not to wait until </w:t>
      </w:r>
      <w:r>
        <w:rPr>
          <w:b/>
        </w:rPr>
        <w:t xml:space="preserve">the last minute </w:t>
      </w:r>
      <w:r w:rsidRPr="00A73F08">
        <w:rPr>
          <w:b/>
        </w:rPr>
        <w:t xml:space="preserve">before the </w:t>
      </w:r>
      <w:r>
        <w:rPr>
          <w:b/>
        </w:rPr>
        <w:t>deadline</w:t>
      </w:r>
      <w:r>
        <w:t xml:space="preserve"> </w:t>
      </w:r>
      <w:r>
        <w:rPr>
          <w:b/>
        </w:rPr>
        <w:t xml:space="preserve">to submit your application in PROSPECT. </w:t>
      </w:r>
    </w:p>
    <w:p w14:paraId="0B3E99E6" w14:textId="77777777" w:rsidR="00F657C9" w:rsidRDefault="00F657C9" w:rsidP="00F36C74">
      <w:pPr>
        <w:pBdr>
          <w:top w:val="single" w:sz="4" w:space="1" w:color="auto"/>
          <w:left w:val="single" w:sz="4" w:space="4" w:color="auto"/>
          <w:bottom w:val="single" w:sz="4" w:space="1" w:color="auto"/>
          <w:right w:val="single" w:sz="4" w:space="4" w:color="auto"/>
        </w:pBdr>
        <w:spacing w:after="120" w:line="240" w:lineRule="atLeast"/>
        <w:rPr>
          <w:b/>
        </w:rPr>
      </w:pPr>
      <w:r w:rsidRPr="00807DAF">
        <w:t xml:space="preserve">Before starting </w:t>
      </w:r>
      <w:r>
        <w:t>using</w:t>
      </w:r>
      <w:r w:rsidRPr="00807DAF">
        <w:t xml:space="preserve"> PADOR</w:t>
      </w:r>
      <w:r>
        <w:t xml:space="preserve"> and PROSPECT</w:t>
      </w:r>
      <w:r w:rsidRPr="00807DAF">
        <w:t xml:space="preserve">, please read the </w:t>
      </w:r>
      <w:r>
        <w:t>user guides available</w:t>
      </w:r>
      <w:r w:rsidRPr="00807DAF">
        <w:t xml:space="preserve"> on the website. </w:t>
      </w:r>
      <w:r>
        <w:rPr>
          <w:lang w:eastAsia="en-GB"/>
        </w:rPr>
        <w:t>All technical questions related the use of these systems should be addressed to the IT helpdesk at</w:t>
      </w:r>
      <w:r w:rsidR="005E4863">
        <w:rPr>
          <w:lang w:eastAsia="en-GB"/>
        </w:rPr>
        <w:t xml:space="preserve"> </w:t>
      </w:r>
      <w:hyperlink r:id="rId22" w:history="1">
        <w:r w:rsidR="005E4863" w:rsidRPr="005E4863">
          <w:rPr>
            <w:rStyle w:val="Hyperlink"/>
            <w:lang w:val="en-IE"/>
          </w:rPr>
          <w:t>ec-external-relations-application-support@ec.europa.eu</w:t>
        </w:r>
      </w:hyperlink>
      <w:r w:rsidR="00D00ABA">
        <w:rPr>
          <w:lang w:val="en-IE"/>
        </w:rPr>
        <w:t xml:space="preserve"> </w:t>
      </w:r>
      <w:hyperlink r:id="rId23" w:history="1"/>
      <w:r>
        <w:rPr>
          <w:b/>
        </w:rPr>
        <w:t>via the online support form in PROSPECT.</w:t>
      </w:r>
    </w:p>
    <w:p w14:paraId="7BA2C2E0" w14:textId="77777777" w:rsidR="008B4806" w:rsidRPr="00BA6979" w:rsidRDefault="008B4806" w:rsidP="00EA610C">
      <w:pPr>
        <w:pStyle w:val="Guidelines3"/>
        <w:numPr>
          <w:ilvl w:val="2"/>
          <w:numId w:val="6"/>
        </w:numPr>
      </w:pPr>
      <w:bookmarkStart w:id="45" w:name="_Toc125454352"/>
      <w:bookmarkStart w:id="46" w:name="_Toc185257678"/>
      <w:r w:rsidRPr="00BA6979">
        <w:t xml:space="preserve">Concept </w:t>
      </w:r>
      <w:r w:rsidR="000D61C6" w:rsidRPr="00BA6979">
        <w:t>n</w:t>
      </w:r>
      <w:r w:rsidRPr="00BA6979">
        <w:t xml:space="preserve">ote </w:t>
      </w:r>
      <w:bookmarkEnd w:id="45"/>
      <w:r w:rsidR="00DB0B48" w:rsidRPr="00BA6979">
        <w:t>conten</w:t>
      </w:r>
      <w:r w:rsidR="005D7AF3" w:rsidRPr="00BA6979">
        <w:t>t</w:t>
      </w:r>
      <w:bookmarkEnd w:id="46"/>
      <w:r w:rsidR="005D7AF3" w:rsidRPr="00BA6979">
        <w:t xml:space="preserve"> </w:t>
      </w:r>
    </w:p>
    <w:p w14:paraId="2E1AFFAA" w14:textId="77777777" w:rsidR="00DB0B48" w:rsidRPr="00807DAF" w:rsidRDefault="00DB0B48" w:rsidP="00F36C74">
      <w:pPr>
        <w:spacing w:after="120" w:line="240" w:lineRule="atLeast"/>
        <w:rPr>
          <w:color w:val="000000"/>
        </w:rPr>
      </w:pPr>
      <w:r w:rsidRPr="00BA6979">
        <w:t xml:space="preserve">Applications must be submitted </w:t>
      </w:r>
      <w:r w:rsidR="00E94F83" w:rsidRPr="00BA6979">
        <w:t xml:space="preserve">in accordance </w:t>
      </w:r>
      <w:r w:rsidRPr="00BA6979">
        <w:t xml:space="preserve">with the </w:t>
      </w:r>
      <w:r w:rsidR="000D61C6" w:rsidRPr="00BA6979">
        <w:t>c</w:t>
      </w:r>
      <w:r w:rsidRPr="00BA6979">
        <w:t xml:space="preserve">oncept </w:t>
      </w:r>
      <w:r w:rsidR="000D61C6" w:rsidRPr="00BA6979">
        <w:t>n</w:t>
      </w:r>
      <w:r w:rsidRPr="00BA6979">
        <w:t>ote</w:t>
      </w:r>
      <w:r w:rsidR="00F47D23" w:rsidRPr="00BA6979">
        <w:t xml:space="preserve"> instructions</w:t>
      </w:r>
      <w:r w:rsidRPr="00BA6979">
        <w:t xml:space="preserve"> in the </w:t>
      </w:r>
      <w:r w:rsidR="000D61C6" w:rsidRPr="00BA6979">
        <w:t>g</w:t>
      </w:r>
      <w:r w:rsidRPr="00BA6979">
        <w:t xml:space="preserve">rant </w:t>
      </w:r>
      <w:r w:rsidR="000D61C6" w:rsidRPr="00BA6979">
        <w:t>a</w:t>
      </w:r>
      <w:r w:rsidRPr="00BA6979">
        <w:t xml:space="preserve">pplication </w:t>
      </w:r>
      <w:r w:rsidR="000D61C6" w:rsidRPr="00BA6979">
        <w:t>f</w:t>
      </w:r>
      <w:r w:rsidRPr="00BA6979">
        <w:t xml:space="preserve">orm annexed to these </w:t>
      </w:r>
      <w:r w:rsidR="000D61C6" w:rsidRPr="00BA6979">
        <w:t>g</w:t>
      </w:r>
      <w:r w:rsidRPr="00BA6979">
        <w:t xml:space="preserve">uidelines (Annex A). </w:t>
      </w:r>
      <w:bookmarkStart w:id="47" w:name="_Hlk163813203"/>
      <w:r w:rsidR="00DA5A09" w:rsidRPr="00DA5A09">
        <w:t xml:space="preserve">Lead applicants should then keep strictly to the format of the </w:t>
      </w:r>
      <w:r w:rsidR="00DA5A09">
        <w:t>concept note</w:t>
      </w:r>
      <w:r w:rsidR="00DA5A09" w:rsidRPr="00DA5A09">
        <w:t xml:space="preserve"> and fill in the paragraphs and pages in order.</w:t>
      </w:r>
      <w:bookmarkEnd w:id="47"/>
    </w:p>
    <w:p w14:paraId="5CCEF300" w14:textId="77777777" w:rsidR="00DB0B48" w:rsidRDefault="00DB0B48" w:rsidP="00F36C74">
      <w:pPr>
        <w:spacing w:after="120" w:line="240" w:lineRule="atLeast"/>
        <w:rPr>
          <w:color w:val="000000"/>
        </w:rPr>
      </w:pPr>
      <w:r w:rsidRPr="00BA6979">
        <w:rPr>
          <w:color w:val="000000"/>
        </w:rPr>
        <w:t xml:space="preserve">Applicants must apply in </w:t>
      </w:r>
      <w:r w:rsidR="00DE3571">
        <w:rPr>
          <w:color w:val="000000"/>
        </w:rPr>
        <w:t>English.</w:t>
      </w:r>
    </w:p>
    <w:p w14:paraId="0A4D2377" w14:textId="77777777" w:rsidR="00D66591" w:rsidRPr="00092AB2" w:rsidRDefault="00D66591" w:rsidP="001B7D50">
      <w:pPr>
        <w:pStyle w:val="Normal-box"/>
        <w:spacing w:before="0" w:line="240" w:lineRule="atLeast"/>
        <w:rPr>
          <w:b/>
          <w:lang w:val="en-IE" w:eastAsia="en-GB"/>
        </w:rPr>
      </w:pPr>
      <w:bookmarkStart w:id="48" w:name="_Hlk163807288"/>
      <w:r w:rsidRPr="00092AB2">
        <w:rPr>
          <w:b/>
          <w:lang w:val="en-IE" w:eastAsia="en-GB"/>
        </w:rPr>
        <w:t>WARNING</w:t>
      </w:r>
    </w:p>
    <w:p w14:paraId="4C564540" w14:textId="77777777" w:rsidR="00D66591" w:rsidRPr="00667948" w:rsidRDefault="00D66591" w:rsidP="001B7D50">
      <w:pPr>
        <w:pStyle w:val="Normal-box"/>
        <w:spacing w:before="0" w:line="240" w:lineRule="atLeast"/>
        <w:rPr>
          <w:lang w:val="en-IE" w:eastAsia="en-GB"/>
        </w:rPr>
      </w:pPr>
      <w:r w:rsidRPr="00667948">
        <w:rPr>
          <w:lang w:val="en-IE" w:eastAsia="en-GB"/>
        </w:rPr>
        <w:t xml:space="preserve">The title of your proposal will become, if selected, the subject matter of the grant contract that will be signed with your organisation. </w:t>
      </w:r>
    </w:p>
    <w:p w14:paraId="24AB8ADC" w14:textId="77777777" w:rsidR="00D66591" w:rsidRPr="00092AB2" w:rsidRDefault="00D66591" w:rsidP="001B7D50">
      <w:pPr>
        <w:pStyle w:val="Normal-box"/>
        <w:spacing w:before="0" w:line="240" w:lineRule="atLeast"/>
        <w:rPr>
          <w:lang w:val="en-IE" w:eastAsia="en-GB"/>
        </w:rPr>
      </w:pPr>
      <w:r w:rsidRPr="00667948">
        <w:rPr>
          <w:lang w:val="en-IE" w:eastAsia="en-GB"/>
        </w:rPr>
        <w:t xml:space="preserve">On the </w:t>
      </w:r>
      <w:hyperlink r:id="rId24" w:history="1">
        <w:r w:rsidRPr="00F83818">
          <w:rPr>
            <w:rStyle w:val="Hyperlink"/>
            <w:lang w:val="en-IE" w:eastAsia="en-GB"/>
          </w:rPr>
          <w:t>Europa website</w:t>
        </w:r>
      </w:hyperlink>
      <w:r w:rsidRPr="00667948">
        <w:rPr>
          <w:lang w:val="en-IE" w:eastAsia="en-GB"/>
        </w:rPr>
        <w:t xml:space="preserve">, the field ‘Public subject’, using the title of the selected proposal, is used for publication in the Financial Transparency System (FTS) of all EU grants. </w:t>
      </w:r>
      <w:r w:rsidRPr="00092AB2">
        <w:rPr>
          <w:lang w:val="en-IE" w:eastAsia="en-GB"/>
        </w:rPr>
        <w:t>This field, being intended for the general public, should provide general and clear information on the purpose of the expenditure.</w:t>
      </w:r>
    </w:p>
    <w:p w14:paraId="63FACEE5" w14:textId="77777777" w:rsidR="00D66591" w:rsidRPr="00092AB2" w:rsidRDefault="00D66591" w:rsidP="001B7D50">
      <w:pPr>
        <w:pStyle w:val="Normal-box"/>
        <w:spacing w:before="0" w:line="240" w:lineRule="atLeast"/>
        <w:rPr>
          <w:lang w:val="en-IE" w:eastAsia="en-GB"/>
        </w:rPr>
      </w:pPr>
      <w:r w:rsidRPr="00092AB2">
        <w:rPr>
          <w:lang w:val="en-IE" w:eastAsia="en-GB"/>
        </w:rPr>
        <w:t>We therefore recommend to define the subject matter of your proposal along the following indications.</w:t>
      </w:r>
    </w:p>
    <w:p w14:paraId="27E01124" w14:textId="77777777" w:rsidR="00D66591" w:rsidRPr="00092AB2" w:rsidRDefault="00D66591" w:rsidP="001B7D50">
      <w:pPr>
        <w:pStyle w:val="Normal-box"/>
        <w:spacing w:before="0" w:line="240" w:lineRule="atLeast"/>
        <w:rPr>
          <w:lang w:val="en-IE" w:eastAsia="en-GB"/>
        </w:rPr>
      </w:pPr>
      <w:r w:rsidRPr="00092AB2">
        <w:rPr>
          <w:lang w:val="en-IE" w:eastAsia="en-GB"/>
        </w:rPr>
        <w:t xml:space="preserve">An appropriate subject: </w:t>
      </w:r>
    </w:p>
    <w:p w14:paraId="59FE65C6" w14:textId="77777777" w:rsidR="00D66591" w:rsidRPr="00092AB2" w:rsidRDefault="00D66591" w:rsidP="001B7D50">
      <w:pPr>
        <w:pStyle w:val="Normal-box"/>
        <w:spacing w:before="0" w:line="240" w:lineRule="atLeast"/>
        <w:rPr>
          <w:lang w:val="en-IE" w:eastAsia="en-GB"/>
        </w:rPr>
      </w:pPr>
      <w:r w:rsidRPr="00066C30">
        <w:rPr>
          <w:lang w:val="en-IE" w:eastAsia="en-GB"/>
        </w:rPr>
        <w:t>•</w:t>
      </w:r>
      <w:r>
        <w:rPr>
          <w:lang w:val="en-IE" w:eastAsia="en-GB"/>
        </w:rPr>
        <w:tab/>
      </w:r>
      <w:r w:rsidRPr="00092AB2">
        <w:rPr>
          <w:lang w:val="en-IE" w:eastAsia="en-GB"/>
        </w:rPr>
        <w:t>refers to the content of the project or its objective</w:t>
      </w:r>
      <w:r>
        <w:rPr>
          <w:lang w:val="en-IE" w:eastAsia="en-GB"/>
        </w:rPr>
        <w:t>;</w:t>
      </w:r>
    </w:p>
    <w:p w14:paraId="0F9332A7" w14:textId="77777777" w:rsidR="00D66591" w:rsidRPr="00092AB2" w:rsidRDefault="00D66591" w:rsidP="001B7D50">
      <w:pPr>
        <w:pStyle w:val="Normal-box"/>
        <w:spacing w:before="0" w:line="240" w:lineRule="atLeast"/>
        <w:ind w:left="720" w:hanging="720"/>
        <w:rPr>
          <w:lang w:val="en-IE" w:eastAsia="en-GB"/>
        </w:rPr>
      </w:pPr>
      <w:r w:rsidRPr="00066C30">
        <w:rPr>
          <w:lang w:val="en-IE" w:eastAsia="en-GB"/>
        </w:rPr>
        <w:t>•</w:t>
      </w:r>
      <w:r>
        <w:rPr>
          <w:lang w:val="en-IE" w:eastAsia="en-GB"/>
        </w:rPr>
        <w:tab/>
      </w:r>
      <w:r w:rsidRPr="00092AB2">
        <w:rPr>
          <w:lang w:val="en-IE" w:eastAsia="en-GB"/>
        </w:rPr>
        <w:t>does not repeat information available in other fields such as the recipient's name, the programme, the year</w:t>
      </w:r>
      <w:r>
        <w:rPr>
          <w:lang w:val="en-IE" w:eastAsia="en-GB"/>
        </w:rPr>
        <w:t>;</w:t>
      </w:r>
    </w:p>
    <w:p w14:paraId="1D0ADC5B" w14:textId="77777777" w:rsidR="00D66591" w:rsidRPr="00092AB2" w:rsidRDefault="00D66591" w:rsidP="001B7D50">
      <w:pPr>
        <w:pStyle w:val="Normal-box"/>
        <w:spacing w:before="0" w:line="240" w:lineRule="atLeast"/>
        <w:rPr>
          <w:lang w:val="en-IE" w:eastAsia="en-GB"/>
        </w:rPr>
      </w:pPr>
      <w:r w:rsidRPr="00066C30">
        <w:rPr>
          <w:lang w:val="en-IE" w:eastAsia="en-GB"/>
        </w:rPr>
        <w:t>•</w:t>
      </w:r>
      <w:r>
        <w:rPr>
          <w:lang w:val="en-IE" w:eastAsia="en-GB"/>
        </w:rPr>
        <w:tab/>
      </w:r>
      <w:r w:rsidRPr="00092AB2">
        <w:rPr>
          <w:lang w:val="en-IE" w:eastAsia="en-GB"/>
        </w:rPr>
        <w:t>is preferably written in English</w:t>
      </w:r>
      <w:r>
        <w:rPr>
          <w:lang w:val="en-IE" w:eastAsia="en-GB"/>
        </w:rPr>
        <w:t>;</w:t>
      </w:r>
    </w:p>
    <w:p w14:paraId="44B43E90" w14:textId="77777777" w:rsidR="00D66591" w:rsidRPr="00092AB2" w:rsidRDefault="00D66591" w:rsidP="001B7D50">
      <w:pPr>
        <w:pStyle w:val="Normal-box"/>
        <w:spacing w:before="0" w:line="240" w:lineRule="atLeast"/>
        <w:rPr>
          <w:lang w:val="en-IE" w:eastAsia="en-GB"/>
        </w:rPr>
      </w:pPr>
      <w:r w:rsidRPr="00066C30">
        <w:rPr>
          <w:lang w:val="en-IE" w:eastAsia="en-GB"/>
        </w:rPr>
        <w:t>•</w:t>
      </w:r>
      <w:r>
        <w:rPr>
          <w:lang w:val="en-IE" w:eastAsia="en-GB"/>
        </w:rPr>
        <w:tab/>
      </w:r>
      <w:r w:rsidRPr="00092AB2">
        <w:rPr>
          <w:lang w:val="en-IE" w:eastAsia="en-GB"/>
        </w:rPr>
        <w:t>may contain acronyms if relevant for the citizens</w:t>
      </w:r>
      <w:r>
        <w:rPr>
          <w:lang w:val="en-IE" w:eastAsia="en-GB"/>
        </w:rPr>
        <w:t>;</w:t>
      </w:r>
    </w:p>
    <w:p w14:paraId="51D0FA4B" w14:textId="77777777" w:rsidR="00D66591" w:rsidRPr="00092AB2" w:rsidRDefault="00D66591" w:rsidP="001B7D50">
      <w:pPr>
        <w:pStyle w:val="Normal-box"/>
        <w:spacing w:before="0" w:line="240" w:lineRule="atLeast"/>
        <w:rPr>
          <w:lang w:val="en-IE" w:eastAsia="en-GB"/>
        </w:rPr>
      </w:pPr>
      <w:r w:rsidRPr="00066C30">
        <w:rPr>
          <w:lang w:val="en-IE" w:eastAsia="en-GB"/>
        </w:rPr>
        <w:lastRenderedPageBreak/>
        <w:t>•</w:t>
      </w:r>
      <w:r>
        <w:rPr>
          <w:lang w:val="en-IE" w:eastAsia="en-GB"/>
        </w:rPr>
        <w:tab/>
      </w:r>
      <w:r w:rsidRPr="00092AB2">
        <w:rPr>
          <w:lang w:val="en-IE" w:eastAsia="en-GB"/>
        </w:rPr>
        <w:t>may contain the reference to the project or programme</w:t>
      </w:r>
      <w:r>
        <w:rPr>
          <w:lang w:val="en-IE" w:eastAsia="en-GB"/>
        </w:rPr>
        <w:t>.</w:t>
      </w:r>
    </w:p>
    <w:bookmarkEnd w:id="48"/>
    <w:p w14:paraId="591F033C" w14:textId="77777777" w:rsidR="00A14225" w:rsidRDefault="00DB0B48" w:rsidP="001B7D50">
      <w:pPr>
        <w:spacing w:after="120" w:line="240" w:lineRule="atLeast"/>
      </w:pPr>
      <w:r w:rsidRPr="00BA6979">
        <w:t xml:space="preserve">In the </w:t>
      </w:r>
      <w:r w:rsidR="000D61C6" w:rsidRPr="00BA6979">
        <w:t>c</w:t>
      </w:r>
      <w:r w:rsidRPr="00BA6979">
        <w:t xml:space="preserve">oncept </w:t>
      </w:r>
      <w:r w:rsidR="000D61C6" w:rsidRPr="00BA6979">
        <w:t>n</w:t>
      </w:r>
      <w:r w:rsidRPr="00BA6979">
        <w:t xml:space="preserve">ote, </w:t>
      </w:r>
      <w:r w:rsidR="00B114D9" w:rsidRPr="00BA6979">
        <w:t>lead a</w:t>
      </w:r>
      <w:r w:rsidRPr="00BA6979">
        <w:t xml:space="preserve">pplicants must </w:t>
      </w:r>
      <w:r w:rsidR="00E94F83" w:rsidRPr="00BA6979">
        <w:t xml:space="preserve">only </w:t>
      </w:r>
      <w:r w:rsidRPr="00BA6979">
        <w:t xml:space="preserve">provide an estimate of </w:t>
      </w:r>
      <w:r w:rsidR="00E94F83" w:rsidRPr="00BA6979">
        <w:t xml:space="preserve">the </w:t>
      </w:r>
      <w:r w:rsidR="002B68A5" w:rsidRPr="00BA6979">
        <w:t xml:space="preserve">requested EU </w:t>
      </w:r>
      <w:r w:rsidR="00E94F83" w:rsidRPr="00BA6979">
        <w:t xml:space="preserve">contribution </w:t>
      </w:r>
      <w:r w:rsidR="002B68A5" w:rsidRPr="00BA6979">
        <w:t xml:space="preserve">as well as </w:t>
      </w:r>
      <w:r w:rsidR="00EE2C5A" w:rsidRPr="00BA6979">
        <w:t xml:space="preserve">an indicative percentage of that contribution in relation to the </w:t>
      </w:r>
      <w:r w:rsidR="00A762B5" w:rsidRPr="00BA6979">
        <w:t xml:space="preserve">eligible costs </w:t>
      </w:r>
      <w:r w:rsidR="00EE2C5A" w:rsidRPr="00BA6979">
        <w:t xml:space="preserve">of the </w:t>
      </w:r>
      <w:r w:rsidR="000D61C6" w:rsidRPr="00BA6979">
        <w:t>a</w:t>
      </w:r>
      <w:r w:rsidR="00EE2C5A" w:rsidRPr="00BA6979">
        <w:t>ction</w:t>
      </w:r>
      <w:r w:rsidR="00A14225">
        <w:t xml:space="preserve"> </w:t>
      </w:r>
      <w:bookmarkStart w:id="49" w:name="_Hlk163813247"/>
      <w:r w:rsidR="00A14225">
        <w:t xml:space="preserve">(the percentage only applicable, where the grant takes the form, </w:t>
      </w:r>
      <w:r w:rsidR="00BC4CCE">
        <w:t>entire</w:t>
      </w:r>
      <w:r w:rsidR="00A14225">
        <w:t>ly or partially, of reimbursement of costs)</w:t>
      </w:r>
      <w:bookmarkEnd w:id="49"/>
      <w:r w:rsidRPr="00BA6979">
        <w:t xml:space="preserve">. </w:t>
      </w:r>
    </w:p>
    <w:p w14:paraId="15CBF588" w14:textId="77777777" w:rsidR="00A14225" w:rsidRDefault="00A762B5" w:rsidP="001B7D50">
      <w:pPr>
        <w:spacing w:after="120" w:line="240" w:lineRule="atLeast"/>
      </w:pPr>
      <w:r w:rsidRPr="00BA6979">
        <w:t>A detailed budget is to be submitted</w:t>
      </w:r>
      <w:r w:rsidRPr="00B723AF">
        <w:t xml:space="preserve"> </w:t>
      </w:r>
      <w:r w:rsidRPr="00BA6979">
        <w:t>o</w:t>
      </w:r>
      <w:r w:rsidR="00DB0B48" w:rsidRPr="00BA6979">
        <w:t>nly</w:t>
      </w:r>
      <w:r w:rsidR="00AB5CDD" w:rsidRPr="00BA6979">
        <w:t xml:space="preserve"> by</w:t>
      </w:r>
      <w:r w:rsidR="00DB0B48" w:rsidRPr="00BA6979">
        <w:t xml:space="preserve"> the </w:t>
      </w:r>
      <w:r w:rsidR="00B114D9" w:rsidRPr="00BA6979">
        <w:t xml:space="preserve">lead </w:t>
      </w:r>
      <w:r w:rsidR="00DB0B48" w:rsidRPr="00BA6979">
        <w:t>applicant</w:t>
      </w:r>
      <w:r w:rsidR="00D751A1" w:rsidRPr="00BA6979">
        <w:t>s</w:t>
      </w:r>
      <w:r w:rsidR="00DB0B48" w:rsidRPr="00BA6979">
        <w:t xml:space="preserve"> invited to submit a full </w:t>
      </w:r>
      <w:r w:rsidR="006459C5" w:rsidRPr="00BA6979">
        <w:t>application</w:t>
      </w:r>
      <w:r w:rsidR="00DB0B48" w:rsidRPr="00BA6979">
        <w:t xml:space="preserve"> in the second phase</w:t>
      </w:r>
      <w:r w:rsidR="004B244E" w:rsidRPr="00BA6979">
        <w:t>.</w:t>
      </w:r>
      <w:r w:rsidR="00DB0B48" w:rsidRPr="00BA6979">
        <w:t xml:space="preserve"> </w:t>
      </w:r>
    </w:p>
    <w:p w14:paraId="4C9728FD" w14:textId="77777777" w:rsidR="00B723AF" w:rsidRPr="00382AEC" w:rsidRDefault="00B723AF" w:rsidP="001B7D50">
      <w:pPr>
        <w:spacing w:after="120" w:line="240" w:lineRule="atLeast"/>
      </w:pPr>
      <w:r w:rsidRPr="00382AEC">
        <w:t>The elements outlined in the concept note may not be modified in the full application</w:t>
      </w:r>
      <w:r w:rsidR="00686F88">
        <w:t>, except for the changes described below:</w:t>
      </w:r>
    </w:p>
    <w:p w14:paraId="5E0C4FCB" w14:textId="77777777" w:rsidR="00B723AF" w:rsidRPr="00382AEC" w:rsidRDefault="00B723AF" w:rsidP="00EA610C">
      <w:pPr>
        <w:numPr>
          <w:ilvl w:val="0"/>
          <w:numId w:val="24"/>
        </w:numPr>
        <w:spacing w:after="120" w:line="240" w:lineRule="atLeast"/>
        <w:ind w:left="1134" w:hanging="425"/>
      </w:pPr>
      <w:r w:rsidRPr="00382AEC">
        <w:t>The EU contribution may not vary from the initial estimate by more than 20</w:t>
      </w:r>
      <w:r w:rsidRPr="009B208C">
        <w:rPr>
          <w:w w:val="50"/>
        </w:rPr>
        <w:t> </w:t>
      </w:r>
      <w:r w:rsidRPr="00382AEC">
        <w:t>%. Lead applicants are free to adapt the percentage of co-financing required within the minimum and maximum amount and percentages of co-financing, as laid down in these guidelines in Section 1.3</w:t>
      </w:r>
      <w:r w:rsidR="00A14225">
        <w:t xml:space="preserve"> </w:t>
      </w:r>
      <w:bookmarkStart w:id="50" w:name="_Hlk163813273"/>
      <w:r w:rsidR="00A14225">
        <w:t>(only applicable in the case of grants taking the form, totally or partially, of reimbursement of costs)</w:t>
      </w:r>
      <w:bookmarkEnd w:id="50"/>
      <w:r w:rsidRPr="00382AEC">
        <w:t>.</w:t>
      </w:r>
      <w:r w:rsidRPr="00382AEC">
        <w:rPr>
          <w:iCs/>
          <w:color w:val="1F497D"/>
        </w:rPr>
        <w:t xml:space="preserve"> </w:t>
      </w:r>
    </w:p>
    <w:p w14:paraId="195E0F71" w14:textId="77777777" w:rsidR="00B723AF" w:rsidRPr="00382AEC" w:rsidRDefault="00B723AF" w:rsidP="00EA610C">
      <w:pPr>
        <w:numPr>
          <w:ilvl w:val="0"/>
          <w:numId w:val="24"/>
        </w:numPr>
        <w:spacing w:after="120" w:line="240" w:lineRule="atLeast"/>
        <w:ind w:left="1134" w:hanging="425"/>
      </w:pPr>
      <w:r w:rsidRPr="00382AEC">
        <w:rPr>
          <w:iCs/>
          <w:color w:val="000000"/>
        </w:rPr>
        <w:t xml:space="preserve">The lead applicant may add, remove or </w:t>
      </w:r>
      <w:r w:rsidRPr="007B1B61">
        <w:rPr>
          <w:iCs/>
          <w:color w:val="000000"/>
        </w:rPr>
        <w:t>replace one or more</w:t>
      </w:r>
      <w:r w:rsidRPr="00382AEC">
        <w:rPr>
          <w:iCs/>
          <w:color w:val="000000"/>
        </w:rPr>
        <w:t xml:space="preserve"> co-applicant</w:t>
      </w:r>
      <w:r w:rsidRPr="007B1B61">
        <w:rPr>
          <w:iCs/>
          <w:color w:val="000000"/>
        </w:rPr>
        <w:t xml:space="preserve">(s) or </w:t>
      </w:r>
      <w:r w:rsidRPr="00382AEC">
        <w:rPr>
          <w:iCs/>
          <w:color w:val="000000"/>
        </w:rPr>
        <w:t xml:space="preserve">affiliated entity </w:t>
      </w:r>
      <w:r w:rsidRPr="007B1B61">
        <w:rPr>
          <w:iCs/>
          <w:color w:val="000000"/>
        </w:rPr>
        <w:t>(</w:t>
      </w:r>
      <w:proofErr w:type="spellStart"/>
      <w:r w:rsidRPr="007B1B61">
        <w:rPr>
          <w:iCs/>
          <w:color w:val="000000"/>
        </w:rPr>
        <w:t>ies</w:t>
      </w:r>
      <w:proofErr w:type="spellEnd"/>
      <w:r w:rsidRPr="007B1B61">
        <w:rPr>
          <w:iCs/>
          <w:color w:val="000000"/>
        </w:rPr>
        <w:t>)</w:t>
      </w:r>
      <w:r w:rsidR="00686F88">
        <w:rPr>
          <w:iCs/>
          <w:color w:val="000000"/>
        </w:rPr>
        <w:t xml:space="preserve"> </w:t>
      </w:r>
      <w:r w:rsidRPr="00382AEC">
        <w:rPr>
          <w:iCs/>
          <w:color w:val="000000"/>
        </w:rPr>
        <w:t xml:space="preserve">only in duly justified cases. </w:t>
      </w:r>
    </w:p>
    <w:p w14:paraId="48831CB8" w14:textId="77777777" w:rsidR="00A14225" w:rsidRPr="001B7D50" w:rsidRDefault="00B723AF" w:rsidP="00EA610C">
      <w:pPr>
        <w:numPr>
          <w:ilvl w:val="0"/>
          <w:numId w:val="24"/>
        </w:numPr>
        <w:spacing w:after="120" w:line="240" w:lineRule="atLeast"/>
        <w:ind w:left="1134" w:hanging="425"/>
      </w:pPr>
      <w:r w:rsidRPr="00382AEC">
        <w:rPr>
          <w:iCs/>
          <w:color w:val="000000"/>
        </w:rPr>
        <w:t xml:space="preserve">The lead applicant may adjust the duration of the action if unforeseen circumstances </w:t>
      </w:r>
      <w:r w:rsidR="00A14225">
        <w:rPr>
          <w:iCs/>
          <w:color w:val="000000"/>
        </w:rPr>
        <w:t xml:space="preserve">beyond </w:t>
      </w:r>
      <w:proofErr w:type="gramStart"/>
      <w:r w:rsidR="00A14225">
        <w:rPr>
          <w:iCs/>
          <w:color w:val="000000"/>
        </w:rPr>
        <w:t xml:space="preserve">the </w:t>
      </w:r>
      <w:r w:rsidRPr="00382AEC">
        <w:rPr>
          <w:iCs/>
          <w:color w:val="000000"/>
        </w:rPr>
        <w:t xml:space="preserve"> applicants</w:t>
      </w:r>
      <w:proofErr w:type="gramEnd"/>
      <w:r w:rsidRPr="00382AEC">
        <w:rPr>
          <w:iCs/>
          <w:color w:val="000000"/>
        </w:rPr>
        <w:t xml:space="preserve"> </w:t>
      </w:r>
      <w:r w:rsidR="00A14225">
        <w:rPr>
          <w:iCs/>
          <w:color w:val="000000"/>
        </w:rPr>
        <w:t xml:space="preserve">control </w:t>
      </w:r>
      <w:r w:rsidRPr="00382AEC">
        <w:rPr>
          <w:iCs/>
          <w:color w:val="000000"/>
        </w:rPr>
        <w:t>have taken place following the submission of the concept note and require such adaptation (risk of action not being carried out). In such cases</w:t>
      </w:r>
      <w:r w:rsidR="00AD295A">
        <w:rPr>
          <w:iCs/>
          <w:color w:val="000000"/>
        </w:rPr>
        <w:t>,</w:t>
      </w:r>
      <w:r w:rsidRPr="00382AEC">
        <w:rPr>
          <w:iCs/>
          <w:color w:val="000000"/>
        </w:rPr>
        <w:t xml:space="preserve"> the duration must remain within the limits imposed by the guidelines for applicants. </w:t>
      </w:r>
    </w:p>
    <w:p w14:paraId="68F1A14C" w14:textId="77777777" w:rsidR="00B723AF" w:rsidRPr="00382AEC" w:rsidRDefault="006264EC" w:rsidP="00EA610C">
      <w:pPr>
        <w:numPr>
          <w:ilvl w:val="0"/>
          <w:numId w:val="24"/>
        </w:numPr>
        <w:spacing w:after="120" w:line="240" w:lineRule="atLeast"/>
        <w:ind w:left="1134" w:hanging="425"/>
      </w:pPr>
      <w:r w:rsidRPr="00354676">
        <w:t>Own contributions by the applicants can be replaced by other donors' contributions at any time</w:t>
      </w:r>
      <w:r>
        <w:t>.</w:t>
      </w:r>
    </w:p>
    <w:p w14:paraId="18C5D460" w14:textId="77777777" w:rsidR="00B723AF" w:rsidRPr="00382AEC" w:rsidRDefault="00B723AF" w:rsidP="00F36C74">
      <w:pPr>
        <w:spacing w:after="120" w:line="240" w:lineRule="atLeast"/>
        <w:rPr>
          <w:b/>
        </w:rPr>
      </w:pPr>
      <w:r w:rsidRPr="00A14225">
        <w:rPr>
          <w:b/>
          <w:iCs/>
          <w:color w:val="000000"/>
        </w:rPr>
        <w:t xml:space="preserve">An explanation/justification of the relevant replacements/adjustments shall be included in </w:t>
      </w:r>
      <w:r w:rsidR="00A14225" w:rsidRPr="001B7D50">
        <w:rPr>
          <w:b/>
          <w:iCs/>
          <w:color w:val="000000"/>
        </w:rPr>
        <w:t xml:space="preserve">the full application. </w:t>
      </w:r>
      <w:r w:rsidRPr="00A14225">
        <w:rPr>
          <w:b/>
          <w:iCs/>
        </w:rPr>
        <w:t xml:space="preserve">Should the explanation/justification not be accepted by the </w:t>
      </w:r>
      <w:r w:rsidR="00F925A3" w:rsidRPr="00A14225">
        <w:rPr>
          <w:b/>
          <w:iCs/>
        </w:rPr>
        <w:t>e</w:t>
      </w:r>
      <w:r w:rsidRPr="00A14225">
        <w:rPr>
          <w:b/>
          <w:iCs/>
        </w:rPr>
        <w:t xml:space="preserve">valuation </w:t>
      </w:r>
      <w:r w:rsidR="00F925A3" w:rsidRPr="00A14225">
        <w:rPr>
          <w:b/>
          <w:iCs/>
        </w:rPr>
        <w:t>c</w:t>
      </w:r>
      <w:r w:rsidRPr="00A14225">
        <w:rPr>
          <w:b/>
          <w:iCs/>
        </w:rPr>
        <w:t>ommittee, the proposal may be rejected on that sole basis.</w:t>
      </w:r>
    </w:p>
    <w:p w14:paraId="787132B3" w14:textId="77777777" w:rsidR="0059137A" w:rsidRPr="00BA6979" w:rsidRDefault="002B68A5" w:rsidP="00F36C74">
      <w:pPr>
        <w:spacing w:after="120" w:line="240" w:lineRule="atLeast"/>
        <w:rPr>
          <w:color w:val="000000"/>
          <w:lang w:eastAsia="en-GB"/>
        </w:rPr>
      </w:pPr>
      <w:r w:rsidRPr="00BA6979">
        <w:rPr>
          <w:color w:val="000000"/>
          <w:lang w:eastAsia="en-GB"/>
        </w:rPr>
        <w:t>O</w:t>
      </w:r>
      <w:r w:rsidR="0059137A" w:rsidRPr="00BA6979">
        <w:rPr>
          <w:color w:val="000000"/>
          <w:lang w:eastAsia="en-GB"/>
        </w:rPr>
        <w:t xml:space="preserve">nly the concept note form will be evaluated. It is therefore of utmost importance that this document contains ALL relevant information concerning the action. No additional annexes </w:t>
      </w:r>
      <w:r w:rsidR="00D60006">
        <w:rPr>
          <w:color w:val="000000"/>
          <w:lang w:eastAsia="en-GB"/>
        </w:rPr>
        <w:t>shall</w:t>
      </w:r>
      <w:r w:rsidR="00D60006" w:rsidRPr="00BA6979">
        <w:rPr>
          <w:color w:val="000000"/>
          <w:lang w:eastAsia="en-GB"/>
        </w:rPr>
        <w:t xml:space="preserve"> </w:t>
      </w:r>
      <w:r w:rsidR="0059137A" w:rsidRPr="00BA6979">
        <w:rPr>
          <w:color w:val="000000"/>
          <w:lang w:eastAsia="en-GB"/>
        </w:rPr>
        <w:t>be sent.</w:t>
      </w:r>
    </w:p>
    <w:p w14:paraId="29B2F657" w14:textId="77777777" w:rsidR="004258BC" w:rsidRDefault="00D122E9" w:rsidP="00F36C74">
      <w:pPr>
        <w:spacing w:after="120" w:line="240" w:lineRule="atLeast"/>
        <w:rPr>
          <w:color w:val="000000"/>
        </w:rPr>
      </w:pPr>
      <w:r w:rsidRPr="00DB5286">
        <w:t xml:space="preserve">Please complete the </w:t>
      </w:r>
      <w:r w:rsidR="00A66ADE">
        <w:t>concept note</w:t>
      </w:r>
      <w:r w:rsidRPr="00DB5286">
        <w:t xml:space="preserve"> carefully and as clearly as possible so that it can be assessed properly.</w:t>
      </w:r>
      <w:r w:rsidRPr="00DB5286">
        <w:rPr>
          <w:color w:val="000000"/>
        </w:rPr>
        <w:t xml:space="preserve"> </w:t>
      </w:r>
    </w:p>
    <w:p w14:paraId="51A11E14" w14:textId="77777777" w:rsidR="00D122E9" w:rsidRPr="00DB5286" w:rsidRDefault="004258BC" w:rsidP="00F36C74">
      <w:pPr>
        <w:spacing w:after="120" w:line="240" w:lineRule="atLeast"/>
        <w:rPr>
          <w:color w:val="000000"/>
        </w:rPr>
      </w:pPr>
      <w:bookmarkStart w:id="51" w:name="_Hlk163813352"/>
      <w:r>
        <w:rPr>
          <w:b/>
          <w:u w:val="single"/>
        </w:rPr>
        <w:t>Please note that i</w:t>
      </w:r>
      <w:r w:rsidRPr="00F624A2">
        <w:rPr>
          <w:b/>
          <w:u w:val="single"/>
        </w:rPr>
        <w:t xml:space="preserve">ncomplete </w:t>
      </w:r>
      <w:r>
        <w:rPr>
          <w:b/>
          <w:u w:val="single"/>
        </w:rPr>
        <w:t>c</w:t>
      </w:r>
      <w:r w:rsidRPr="00F624A2">
        <w:rPr>
          <w:b/>
          <w:u w:val="single"/>
        </w:rPr>
        <w:t xml:space="preserve">oncept </w:t>
      </w:r>
      <w:r>
        <w:rPr>
          <w:b/>
          <w:u w:val="single"/>
        </w:rPr>
        <w:t>n</w:t>
      </w:r>
      <w:r w:rsidRPr="00F624A2">
        <w:rPr>
          <w:b/>
          <w:u w:val="single"/>
        </w:rPr>
        <w:t>otes may be rejected</w:t>
      </w:r>
      <w:r w:rsidRPr="00C0414D">
        <w:rPr>
          <w:b/>
        </w:rPr>
        <w:t>.</w:t>
      </w:r>
      <w:r w:rsidRPr="00C0414D">
        <w:t xml:space="preserve"> Lead </w:t>
      </w:r>
      <w:r>
        <w:t>a</w:t>
      </w:r>
      <w:r w:rsidRPr="00564F01">
        <w:t xml:space="preserve">pplicants </w:t>
      </w:r>
      <w:r>
        <w:t xml:space="preserve">are advised to </w:t>
      </w:r>
      <w:r w:rsidRPr="00564F01">
        <w:t xml:space="preserve">verify that their </w:t>
      </w:r>
      <w:r>
        <w:t>c</w:t>
      </w:r>
      <w:r w:rsidRPr="00564F01">
        <w:t xml:space="preserve">oncept </w:t>
      </w:r>
      <w:r>
        <w:t>n</w:t>
      </w:r>
      <w:r w:rsidRPr="00564F01">
        <w:t xml:space="preserve">ote is complete by using the </w:t>
      </w:r>
      <w:r>
        <w:t>c</w:t>
      </w:r>
      <w:r w:rsidRPr="00C0414D">
        <w:t>hecklist</w:t>
      </w:r>
      <w:r>
        <w:t xml:space="preserve"> f</w:t>
      </w:r>
      <w:r w:rsidRPr="00564F01">
        <w:t xml:space="preserve">or </w:t>
      </w:r>
      <w:r>
        <w:t>c</w:t>
      </w:r>
      <w:r w:rsidRPr="00564F01">
        <w:t xml:space="preserve">oncept </w:t>
      </w:r>
      <w:r>
        <w:t>n</w:t>
      </w:r>
      <w:r w:rsidRPr="00564F01">
        <w:t>ote (Annex A.1</w:t>
      </w:r>
      <w:r>
        <w:t>, Instructions</w:t>
      </w:r>
      <w:r w:rsidRPr="00564F01">
        <w:t>).</w:t>
      </w:r>
    </w:p>
    <w:bookmarkEnd w:id="51"/>
    <w:p w14:paraId="2D0BC121" w14:textId="77777777" w:rsidR="00DB0B48" w:rsidRPr="00BA6979" w:rsidRDefault="00DB0B48" w:rsidP="00F36C74">
      <w:pPr>
        <w:spacing w:after="120" w:line="240" w:lineRule="atLeast"/>
        <w:rPr>
          <w:color w:val="000000"/>
        </w:rPr>
      </w:pPr>
      <w:r w:rsidRPr="00BA6979">
        <w:rPr>
          <w:color w:val="000000"/>
        </w:rPr>
        <w:t xml:space="preserve">Any error or major discrepancy related to the </w:t>
      </w:r>
      <w:r w:rsidR="000D61C6" w:rsidRPr="00BA6979">
        <w:rPr>
          <w:color w:val="000000"/>
        </w:rPr>
        <w:t>c</w:t>
      </w:r>
      <w:r w:rsidRPr="00BA6979">
        <w:rPr>
          <w:color w:val="000000"/>
        </w:rPr>
        <w:t xml:space="preserve">oncept </w:t>
      </w:r>
      <w:r w:rsidR="000D61C6" w:rsidRPr="00BA6979">
        <w:rPr>
          <w:color w:val="000000"/>
        </w:rPr>
        <w:t>n</w:t>
      </w:r>
      <w:r w:rsidRPr="00BA6979">
        <w:rPr>
          <w:color w:val="000000"/>
        </w:rPr>
        <w:t xml:space="preserve">ote </w:t>
      </w:r>
      <w:r w:rsidR="002A0BA0" w:rsidRPr="00BA6979">
        <w:rPr>
          <w:color w:val="000000"/>
        </w:rPr>
        <w:t xml:space="preserve">instructions </w:t>
      </w:r>
      <w:r w:rsidRPr="00BA6979">
        <w:rPr>
          <w:color w:val="000000"/>
        </w:rPr>
        <w:t xml:space="preserve">may lead to the rejection of the </w:t>
      </w:r>
      <w:r w:rsidR="000D61C6" w:rsidRPr="00BA6979">
        <w:rPr>
          <w:color w:val="000000"/>
        </w:rPr>
        <w:t>c</w:t>
      </w:r>
      <w:r w:rsidRPr="00BA6979">
        <w:rPr>
          <w:color w:val="000000"/>
        </w:rPr>
        <w:t xml:space="preserve">oncept </w:t>
      </w:r>
      <w:r w:rsidR="000D61C6" w:rsidRPr="00BA6979">
        <w:rPr>
          <w:color w:val="000000"/>
        </w:rPr>
        <w:t>n</w:t>
      </w:r>
      <w:r w:rsidRPr="00BA6979">
        <w:rPr>
          <w:color w:val="000000"/>
        </w:rPr>
        <w:t>ote.</w:t>
      </w:r>
      <w:r w:rsidR="00D122E9">
        <w:rPr>
          <w:color w:val="000000"/>
        </w:rPr>
        <w:t xml:space="preserve"> </w:t>
      </w:r>
    </w:p>
    <w:p w14:paraId="36FCDCFD" w14:textId="77777777" w:rsidR="00DB0B48" w:rsidRPr="00BA6979" w:rsidRDefault="00DB0B48" w:rsidP="00F36C74">
      <w:pPr>
        <w:spacing w:after="120" w:line="240" w:lineRule="atLeast"/>
      </w:pPr>
      <w:r w:rsidRPr="00BA6979">
        <w:rPr>
          <w:color w:val="000000"/>
        </w:rPr>
        <w:t xml:space="preserve">Clarifications will only be requested when information provided is </w:t>
      </w:r>
      <w:r w:rsidR="006E09FB" w:rsidRPr="00BA6979">
        <w:rPr>
          <w:color w:val="000000"/>
        </w:rPr>
        <w:t>not sufficient to conduct</w:t>
      </w:r>
      <w:r w:rsidRPr="00BA6979">
        <w:rPr>
          <w:color w:val="000000"/>
        </w:rPr>
        <w:t xml:space="preserve"> an objective assessment. </w:t>
      </w:r>
    </w:p>
    <w:p w14:paraId="1DB6B320" w14:textId="77777777" w:rsidR="008B4806" w:rsidRPr="00BA6979" w:rsidRDefault="008B4806" w:rsidP="00EA610C">
      <w:pPr>
        <w:pStyle w:val="Guidelines3"/>
        <w:numPr>
          <w:ilvl w:val="2"/>
          <w:numId w:val="6"/>
        </w:numPr>
      </w:pPr>
      <w:bookmarkStart w:id="52" w:name="_Toc125454353"/>
      <w:bookmarkStart w:id="53" w:name="_Toc185257679"/>
      <w:r w:rsidRPr="00BA6979">
        <w:t>Where and how to send</w:t>
      </w:r>
      <w:r w:rsidR="000D61C6" w:rsidRPr="00BA6979">
        <w:t xml:space="preserve"> c</w:t>
      </w:r>
      <w:r w:rsidRPr="00BA6979">
        <w:t xml:space="preserve">oncept </w:t>
      </w:r>
      <w:r w:rsidR="000D61C6" w:rsidRPr="00BA6979">
        <w:t>n</w:t>
      </w:r>
      <w:r w:rsidRPr="00BA6979">
        <w:t>otes</w:t>
      </w:r>
      <w:bookmarkEnd w:id="52"/>
      <w:bookmarkEnd w:id="53"/>
    </w:p>
    <w:p w14:paraId="0502849B" w14:textId="77777777" w:rsidR="00BF389A" w:rsidRDefault="00BF389A" w:rsidP="00F36C74">
      <w:pPr>
        <w:spacing w:after="120" w:line="240" w:lineRule="atLeast"/>
      </w:pPr>
      <w:r>
        <w:t xml:space="preserve">The concept note together </w:t>
      </w:r>
      <w:r w:rsidR="00465AA9">
        <w:t xml:space="preserve">with </w:t>
      </w:r>
      <w:r>
        <w:t xml:space="preserve">the declaration by the lead applicant (Annex A.1 section 2) </w:t>
      </w:r>
      <w:r w:rsidRPr="00A73F08">
        <w:rPr>
          <w:b/>
        </w:rPr>
        <w:t>must</w:t>
      </w:r>
      <w:r>
        <w:t xml:space="preserve"> </w:t>
      </w:r>
      <w:r w:rsidRPr="00A73F08">
        <w:rPr>
          <w:b/>
        </w:rPr>
        <w:t>be submitted online</w:t>
      </w:r>
      <w:r>
        <w:t xml:space="preserve"> </w:t>
      </w:r>
      <w:r w:rsidRPr="00A73F08">
        <w:rPr>
          <w:b/>
        </w:rPr>
        <w:t>via PROSPECT</w:t>
      </w:r>
      <w:r>
        <w:t xml:space="preserve"> </w:t>
      </w:r>
      <w:hyperlink r:id="rId25" w:history="1">
        <w:r w:rsidR="00F874BB" w:rsidRPr="00556E3A">
          <w:rPr>
            <w:rStyle w:val="Hyperlink"/>
          </w:rPr>
          <w:t>https://webgate.ec.europa.eu/prospect</w:t>
        </w:r>
      </w:hyperlink>
      <w:r w:rsidR="00F874BB">
        <w:t xml:space="preserve"> </w:t>
      </w:r>
      <w:r>
        <w:t>following the instructions given in the PROSPECT user manual.</w:t>
      </w:r>
    </w:p>
    <w:p w14:paraId="4CA5E7B4" w14:textId="77777777" w:rsidR="00BF389A" w:rsidRDefault="00BF389A" w:rsidP="00F36C74">
      <w:pPr>
        <w:pStyle w:val="Default"/>
        <w:spacing w:after="120" w:line="240" w:lineRule="atLeast"/>
        <w:jc w:val="both"/>
        <w:rPr>
          <w:sz w:val="22"/>
          <w:szCs w:val="22"/>
        </w:rPr>
      </w:pPr>
      <w:r>
        <w:rPr>
          <w:sz w:val="22"/>
          <w:szCs w:val="22"/>
        </w:rPr>
        <w:t xml:space="preserve">Upon submission of a concept note online, the lead applicant will receive an automatic confirmation of receipt in its PROSPECT profile. </w:t>
      </w:r>
    </w:p>
    <w:p w14:paraId="13B6C37A" w14:textId="77777777" w:rsidR="008B4806" w:rsidRPr="00BA6979" w:rsidRDefault="008B4806" w:rsidP="00EA610C">
      <w:pPr>
        <w:pStyle w:val="Guidelines3"/>
        <w:numPr>
          <w:ilvl w:val="2"/>
          <w:numId w:val="6"/>
        </w:numPr>
      </w:pPr>
      <w:bookmarkStart w:id="54" w:name="_Toc125454354"/>
      <w:bookmarkStart w:id="55" w:name="_Toc185257680"/>
      <w:r w:rsidRPr="00BA6979">
        <w:t xml:space="preserve">Deadline for </w:t>
      </w:r>
      <w:r w:rsidR="005C3B40" w:rsidRPr="00BA6979">
        <w:t xml:space="preserve">submission </w:t>
      </w:r>
      <w:r w:rsidRPr="00BA6979">
        <w:t xml:space="preserve">of </w:t>
      </w:r>
      <w:r w:rsidR="005A0945" w:rsidRPr="00BA6979">
        <w:t>c</w:t>
      </w:r>
      <w:r w:rsidRPr="00BA6979">
        <w:t xml:space="preserve">oncept </w:t>
      </w:r>
      <w:r w:rsidR="005A0945" w:rsidRPr="00BA6979">
        <w:t>n</w:t>
      </w:r>
      <w:r w:rsidRPr="00BA6979">
        <w:t>otes</w:t>
      </w:r>
      <w:bookmarkEnd w:id="54"/>
      <w:bookmarkEnd w:id="55"/>
      <w:r w:rsidRPr="00BA6979">
        <w:t xml:space="preserve"> </w:t>
      </w:r>
    </w:p>
    <w:p w14:paraId="6575E60D" w14:textId="0C81BAD9" w:rsidR="00DD76A8" w:rsidRDefault="00E72707" w:rsidP="00F36C74">
      <w:pPr>
        <w:spacing w:after="120" w:line="240" w:lineRule="atLeast"/>
        <w:rPr>
          <w:b/>
          <w:szCs w:val="32"/>
        </w:rPr>
      </w:pPr>
      <w:r w:rsidRPr="00FE05D4">
        <w:t xml:space="preserve">The deadline for the submission of </w:t>
      </w:r>
      <w:r>
        <w:t>concept notes</w:t>
      </w:r>
      <w:r w:rsidRPr="00FE05D4">
        <w:t xml:space="preserve"> is</w:t>
      </w:r>
      <w:r w:rsidRPr="00C93603">
        <w:t xml:space="preserve"> </w:t>
      </w:r>
      <w:r w:rsidR="004467AC" w:rsidRPr="00B522D3">
        <w:t>0</w:t>
      </w:r>
      <w:r w:rsidR="007C6D8C" w:rsidRPr="00B522D3">
        <w:t>5</w:t>
      </w:r>
      <w:r w:rsidR="004467AC" w:rsidRPr="00B522D3">
        <w:t>/05</w:t>
      </w:r>
      <w:r w:rsidRPr="00B522D3">
        <w:t>/2025 at 12:00</w:t>
      </w:r>
      <w:r w:rsidRPr="00C93603">
        <w:t xml:space="preserve"> (</w:t>
      </w:r>
      <w:r w:rsidR="00CF5B05">
        <w:t>Brussels</w:t>
      </w:r>
      <w:r w:rsidRPr="00C93603">
        <w:t xml:space="preserve"> date and time). </w:t>
      </w:r>
      <w:r w:rsidRPr="0040468C">
        <w:rPr>
          <w:szCs w:val="32"/>
        </w:rPr>
        <w:t>In order to convert this deadline to local time you can use an</w:t>
      </w:r>
      <w:r>
        <w:rPr>
          <w:szCs w:val="32"/>
        </w:rPr>
        <w:t>y</w:t>
      </w:r>
      <w:r w:rsidRPr="0040468C">
        <w:rPr>
          <w:szCs w:val="32"/>
        </w:rPr>
        <w:t xml:space="preserve"> online time converter tool that takes into account </w:t>
      </w:r>
      <w:proofErr w:type="spellStart"/>
      <w:r w:rsidRPr="0040468C">
        <w:rPr>
          <w:szCs w:val="32"/>
        </w:rPr>
        <w:t>timezones</w:t>
      </w:r>
      <w:proofErr w:type="spellEnd"/>
      <w:r w:rsidRPr="0040468C">
        <w:rPr>
          <w:szCs w:val="32"/>
        </w:rPr>
        <w:t xml:space="preserve"> and winter/summer time changes </w:t>
      </w:r>
      <w:r>
        <w:rPr>
          <w:szCs w:val="32"/>
        </w:rPr>
        <w:t>(example available</w:t>
      </w:r>
      <w:r w:rsidRPr="005F491D">
        <w:rPr>
          <w:b/>
          <w:szCs w:val="32"/>
        </w:rPr>
        <w:t xml:space="preserve"> </w:t>
      </w:r>
      <w:hyperlink r:id="rId26" w:history="1">
        <w:r w:rsidRPr="00493B68">
          <w:rPr>
            <w:rStyle w:val="Hyperlink"/>
            <w:b/>
            <w:szCs w:val="32"/>
          </w:rPr>
          <w:t>here</w:t>
        </w:r>
      </w:hyperlink>
      <w:r w:rsidR="00493B68" w:rsidRPr="00BA6979">
        <w:rPr>
          <w:szCs w:val="32"/>
        </w:rPr>
        <w:t>)</w:t>
      </w:r>
      <w:r w:rsidR="00493B68">
        <w:rPr>
          <w:b/>
          <w:szCs w:val="32"/>
        </w:rPr>
        <w:t xml:space="preserve"> </w:t>
      </w:r>
      <w:r>
        <w:rPr>
          <w:b/>
          <w:szCs w:val="32"/>
        </w:rPr>
        <w:t xml:space="preserve"> </w:t>
      </w:r>
    </w:p>
    <w:p w14:paraId="77076C8B" w14:textId="77777777" w:rsidR="00E72707" w:rsidRDefault="00E72707" w:rsidP="00F36C74">
      <w:pPr>
        <w:spacing w:after="120" w:line="240" w:lineRule="atLeast"/>
      </w:pPr>
      <w:r w:rsidRPr="0040468C">
        <w:rPr>
          <w:b/>
        </w:rPr>
        <w:t xml:space="preserve">The </w:t>
      </w:r>
      <w:r>
        <w:rPr>
          <w:b/>
        </w:rPr>
        <w:t>lead a</w:t>
      </w:r>
      <w:r w:rsidRPr="0040468C">
        <w:rPr>
          <w:b/>
        </w:rPr>
        <w:t>pplicant is strongly advised not to wait until the last day to submit</w:t>
      </w:r>
      <w:r w:rsidRPr="00FE05D4">
        <w:t xml:space="preserve"> </w:t>
      </w:r>
      <w:r>
        <w:t>its</w:t>
      </w:r>
      <w:r w:rsidRPr="00FE05D4">
        <w:t xml:space="preserve"> </w:t>
      </w:r>
      <w:r>
        <w:t>c</w:t>
      </w:r>
      <w:r w:rsidRPr="00FE05D4">
        <w:t xml:space="preserve">oncept </w:t>
      </w:r>
      <w:r>
        <w:t>n</w:t>
      </w:r>
      <w:r w:rsidRPr="00FE05D4">
        <w:t xml:space="preserve">ote, since heavy Internet traffic or a fault with the Internet connection (including electricity failure, etc.) could lead to difficulties in submission. The </w:t>
      </w:r>
      <w:r w:rsidR="003F667F">
        <w:t>c</w:t>
      </w:r>
      <w:r w:rsidR="003F667F" w:rsidRPr="00FE05D4">
        <w:t>ont</w:t>
      </w:r>
      <w:r w:rsidR="00465AA9">
        <w:t>r</w:t>
      </w:r>
      <w:r w:rsidR="003F667F" w:rsidRPr="00FE05D4">
        <w:t xml:space="preserve">acting </w:t>
      </w:r>
      <w:r w:rsidR="003F667F">
        <w:t>a</w:t>
      </w:r>
      <w:r w:rsidR="003F667F" w:rsidRPr="00FE05D4">
        <w:t xml:space="preserve">uthority </w:t>
      </w:r>
      <w:r w:rsidRPr="00FE05D4">
        <w:t>cannot be held responsible for any delay due to such afore-mentioned difficulties</w:t>
      </w:r>
      <w:r w:rsidRPr="00BA1231">
        <w:t>.</w:t>
      </w:r>
      <w:r>
        <w:t xml:space="preserve"> </w:t>
      </w:r>
    </w:p>
    <w:p w14:paraId="72DBF8F2" w14:textId="77777777" w:rsidR="00B41A93" w:rsidRDefault="00E72707" w:rsidP="00F36C74">
      <w:pPr>
        <w:spacing w:after="120" w:line="240" w:lineRule="atLeast"/>
        <w:rPr>
          <w:lang w:bidi="kn-IN"/>
        </w:rPr>
      </w:pPr>
      <w:r w:rsidRPr="00FE05D4">
        <w:t xml:space="preserve">Any </w:t>
      </w:r>
      <w:r>
        <w:t>c</w:t>
      </w:r>
      <w:r w:rsidRPr="00FE05D4">
        <w:t xml:space="preserve">oncept </w:t>
      </w:r>
      <w:r>
        <w:t>n</w:t>
      </w:r>
      <w:r w:rsidRPr="00FE05D4">
        <w:t>ote submitted after the deadline will be rejected.</w:t>
      </w:r>
    </w:p>
    <w:p w14:paraId="7BEA3DD8" w14:textId="77777777" w:rsidR="008B4806" w:rsidRPr="00BA6979" w:rsidRDefault="008B4806" w:rsidP="00EA610C">
      <w:pPr>
        <w:pStyle w:val="Guidelines3"/>
        <w:numPr>
          <w:ilvl w:val="2"/>
          <w:numId w:val="6"/>
        </w:numPr>
      </w:pPr>
      <w:bookmarkStart w:id="56" w:name="_Toc125454355"/>
      <w:bookmarkStart w:id="57" w:name="_Toc185257681"/>
      <w:r w:rsidRPr="00BA6979">
        <w:lastRenderedPageBreak/>
        <w:t>Further information</w:t>
      </w:r>
      <w:bookmarkEnd w:id="56"/>
      <w:r w:rsidR="00CF7BEF" w:rsidRPr="00BA6979">
        <w:t xml:space="preserve"> </w:t>
      </w:r>
      <w:r w:rsidR="00E3173F" w:rsidRPr="00BA6979">
        <w:t xml:space="preserve">about </w:t>
      </w:r>
      <w:r w:rsidR="005A0945" w:rsidRPr="00BA6979">
        <w:t>c</w:t>
      </w:r>
      <w:r w:rsidR="00CF7BEF" w:rsidRPr="00BA6979">
        <w:t xml:space="preserve">oncept </w:t>
      </w:r>
      <w:r w:rsidR="005A0945" w:rsidRPr="00BA6979">
        <w:t>n</w:t>
      </w:r>
      <w:r w:rsidR="00CF7BEF" w:rsidRPr="00BA6979">
        <w:t>ote</w:t>
      </w:r>
      <w:r w:rsidR="00CB6E77" w:rsidRPr="00BA6979">
        <w:t>s</w:t>
      </w:r>
      <w:bookmarkEnd w:id="57"/>
    </w:p>
    <w:p w14:paraId="645370E4" w14:textId="51BDE073" w:rsidR="008B4806" w:rsidRPr="00F67A6B" w:rsidRDefault="008B4806" w:rsidP="00F36C74">
      <w:pPr>
        <w:spacing w:after="120" w:line="240" w:lineRule="atLeast"/>
      </w:pPr>
      <w:r w:rsidRPr="00807DAF">
        <w:t xml:space="preserve">An information session on this </w:t>
      </w:r>
      <w:r w:rsidR="005A0945">
        <w:t>c</w:t>
      </w:r>
      <w:r w:rsidR="001D0C7B" w:rsidRPr="00807DAF">
        <w:t xml:space="preserve">all for </w:t>
      </w:r>
      <w:r w:rsidR="005A0945">
        <w:t>p</w:t>
      </w:r>
      <w:r w:rsidR="001D0C7B" w:rsidRPr="00807DAF">
        <w:t>roposals</w:t>
      </w:r>
      <w:r w:rsidRPr="00807DAF">
        <w:t xml:space="preserve"> will be held on</w:t>
      </w:r>
      <w:r w:rsidR="005C3B40" w:rsidRPr="00807DAF">
        <w:t xml:space="preserve"> </w:t>
      </w:r>
      <w:r w:rsidR="004467AC" w:rsidRPr="00CF5B05">
        <w:t>04</w:t>
      </w:r>
      <w:r w:rsidR="00AD595C" w:rsidRPr="00CF5B05">
        <w:t xml:space="preserve"> </w:t>
      </w:r>
      <w:r w:rsidR="004467AC" w:rsidRPr="00CF5B05">
        <w:t>April</w:t>
      </w:r>
      <w:r w:rsidR="00AD595C" w:rsidRPr="00CF5B05">
        <w:t xml:space="preserve"> 2025</w:t>
      </w:r>
      <w:r w:rsidR="00AD595C">
        <w:t xml:space="preserve"> </w:t>
      </w:r>
      <w:r w:rsidR="00F67A6B">
        <w:t xml:space="preserve">in </w:t>
      </w:r>
      <w:proofErr w:type="spellStart"/>
      <w:r w:rsidR="00F67A6B">
        <w:t>Chișinău</w:t>
      </w:r>
      <w:proofErr w:type="spellEnd"/>
      <w:r w:rsidR="00F67A6B">
        <w:t>, Republic of Moldova.</w:t>
      </w:r>
      <w:r w:rsidR="004467AC">
        <w:t xml:space="preserve"> The event will be organised in a hybrid format.</w:t>
      </w:r>
    </w:p>
    <w:p w14:paraId="701ECA8B" w14:textId="77777777" w:rsidR="008B4806" w:rsidRPr="00BA6979" w:rsidRDefault="008B4806" w:rsidP="00F36C74">
      <w:pPr>
        <w:spacing w:after="120" w:line="240" w:lineRule="atLeast"/>
      </w:pPr>
      <w:r w:rsidRPr="00BA6979">
        <w:t xml:space="preserve">Questions may be sent by e-mail no later than 21 days before the deadline for the </w:t>
      </w:r>
      <w:r w:rsidR="00934768" w:rsidRPr="00BA6979">
        <w:t>submission</w:t>
      </w:r>
      <w:r w:rsidRPr="00BA6979">
        <w:t xml:space="preserve"> of </w:t>
      </w:r>
      <w:r w:rsidR="005A0945" w:rsidRPr="00BA6979">
        <w:t>c</w:t>
      </w:r>
      <w:r w:rsidRPr="00BA6979">
        <w:t xml:space="preserve">oncept </w:t>
      </w:r>
      <w:r w:rsidR="005A0945" w:rsidRPr="00BA6979">
        <w:t>n</w:t>
      </w:r>
      <w:r w:rsidRPr="00BA6979">
        <w:t>otes to the address(es)</w:t>
      </w:r>
      <w:r w:rsidR="00023576" w:rsidRPr="00BA6979">
        <w:t xml:space="preserve"> below</w:t>
      </w:r>
      <w:r w:rsidRPr="00BA6979">
        <w:t xml:space="preserve">, indicating clearly the reference of the </w:t>
      </w:r>
      <w:r w:rsidR="005A0945" w:rsidRPr="00BA6979">
        <w:t>c</w:t>
      </w:r>
      <w:r w:rsidR="001D0C7B" w:rsidRPr="00BA6979">
        <w:t xml:space="preserve">all for </w:t>
      </w:r>
      <w:r w:rsidR="005A0945" w:rsidRPr="00BA6979">
        <w:t>p</w:t>
      </w:r>
      <w:r w:rsidR="001D0C7B" w:rsidRPr="00BA6979">
        <w:t>roposals</w:t>
      </w:r>
      <w:r w:rsidRPr="00BA6979">
        <w:t>:</w:t>
      </w:r>
    </w:p>
    <w:p w14:paraId="684D3007" w14:textId="77777777" w:rsidR="008B4806" w:rsidRPr="00B723AF" w:rsidRDefault="008B4806" w:rsidP="00F36C74">
      <w:pPr>
        <w:spacing w:after="120" w:line="240" w:lineRule="atLeast"/>
        <w:ind w:left="567"/>
      </w:pPr>
      <w:r w:rsidRPr="00BA6979">
        <w:t xml:space="preserve">E-mail address: </w:t>
      </w:r>
      <w:hyperlink r:id="rId27" w:history="1">
        <w:r w:rsidR="00F67A6B" w:rsidRPr="00A7718B">
          <w:rPr>
            <w:rStyle w:val="Hyperlink"/>
            <w:b/>
            <w:noProof/>
            <w:szCs w:val="22"/>
          </w:rPr>
          <w:t>delegation-moldova-procurement@eeas.europa.eu</w:t>
        </w:r>
      </w:hyperlink>
      <w:r w:rsidR="00F67A6B">
        <w:rPr>
          <w:b/>
          <w:noProof/>
          <w:szCs w:val="22"/>
        </w:rPr>
        <w:t xml:space="preserve"> </w:t>
      </w:r>
    </w:p>
    <w:p w14:paraId="74386E5B" w14:textId="77777777" w:rsidR="002128D0" w:rsidRPr="00BA6979" w:rsidRDefault="002128D0" w:rsidP="00F36C74">
      <w:pPr>
        <w:spacing w:after="120" w:line="240" w:lineRule="atLeast"/>
      </w:pPr>
      <w:r w:rsidRPr="00BA6979">
        <w:t xml:space="preserve">The </w:t>
      </w:r>
      <w:r w:rsidR="00AA0B45" w:rsidRPr="00BA6979">
        <w:t>c</w:t>
      </w:r>
      <w:r w:rsidRPr="00BA6979">
        <w:t xml:space="preserve">ontracting </w:t>
      </w:r>
      <w:r w:rsidR="00AA0B45" w:rsidRPr="00BA6979">
        <w:t>a</w:t>
      </w:r>
      <w:r w:rsidRPr="00BA6979">
        <w:t>uthority has no obligation to provide clarifications</w:t>
      </w:r>
      <w:r w:rsidR="007C4720" w:rsidRPr="00BA6979">
        <w:t xml:space="preserve"> to questions received </w:t>
      </w:r>
      <w:r w:rsidRPr="00BA6979">
        <w:t>after this date.</w:t>
      </w:r>
    </w:p>
    <w:p w14:paraId="33EE95E4" w14:textId="77777777" w:rsidR="008B4806" w:rsidRPr="00BA6979" w:rsidRDefault="008B4806" w:rsidP="00F36C74">
      <w:pPr>
        <w:spacing w:after="120" w:line="240" w:lineRule="atLeast"/>
      </w:pPr>
      <w:r w:rsidRPr="00BA6979">
        <w:t xml:space="preserve">Replies will be given no later than 11 days before the deadline for </w:t>
      </w:r>
      <w:r w:rsidR="00CA6D19" w:rsidRPr="00BA6979">
        <w:t xml:space="preserve">submission </w:t>
      </w:r>
      <w:r w:rsidRPr="00BA6979">
        <w:t xml:space="preserve">of </w:t>
      </w:r>
      <w:r w:rsidR="005A0945" w:rsidRPr="00BA6979">
        <w:t>c</w:t>
      </w:r>
      <w:r w:rsidRPr="00BA6979">
        <w:t xml:space="preserve">oncept </w:t>
      </w:r>
      <w:r w:rsidR="005A0945" w:rsidRPr="00BA6979">
        <w:t>n</w:t>
      </w:r>
      <w:r w:rsidRPr="00BA6979">
        <w:t xml:space="preserve">otes. </w:t>
      </w:r>
    </w:p>
    <w:p w14:paraId="62F916FB" w14:textId="77777777" w:rsidR="008B4806" w:rsidRPr="00BA6979" w:rsidRDefault="00023576" w:rsidP="00F36C74">
      <w:pPr>
        <w:spacing w:after="120" w:line="240" w:lineRule="atLeast"/>
      </w:pPr>
      <w:r w:rsidRPr="00BA6979">
        <w:t>To ensure</w:t>
      </w:r>
      <w:r w:rsidR="008B4806" w:rsidRPr="00BA6979">
        <w:t xml:space="preserve"> equal treatment of applicants, the </w:t>
      </w:r>
      <w:r w:rsidR="005A0945" w:rsidRPr="00BA6979">
        <w:t>c</w:t>
      </w:r>
      <w:r w:rsidR="008B4806" w:rsidRPr="00BA6979">
        <w:t xml:space="preserve">ontracting </w:t>
      </w:r>
      <w:r w:rsidR="005A0945" w:rsidRPr="00BA6979">
        <w:t>a</w:t>
      </w:r>
      <w:r w:rsidR="008B4806" w:rsidRPr="00BA6979">
        <w:t xml:space="preserve">uthority cannot give a prior opinion on the eligibility of </w:t>
      </w:r>
      <w:r w:rsidR="00B114D9" w:rsidRPr="00BA6979">
        <w:t>lead a</w:t>
      </w:r>
      <w:r w:rsidR="008B4806" w:rsidRPr="00BA6979">
        <w:t>pplicant</w:t>
      </w:r>
      <w:r w:rsidR="009901E5" w:rsidRPr="00BA6979">
        <w:t>s</w:t>
      </w:r>
      <w:r w:rsidR="008B4806" w:rsidRPr="00BA6979">
        <w:t xml:space="preserve">, </w:t>
      </w:r>
      <w:r w:rsidR="005A0945" w:rsidRPr="00BA6979">
        <w:t>c</w:t>
      </w:r>
      <w:r w:rsidR="00C662CC" w:rsidRPr="00BA6979">
        <w:t xml:space="preserve">o-applicants, </w:t>
      </w:r>
      <w:r w:rsidR="009901E5" w:rsidRPr="00BA6979">
        <w:t>affiliated entity(</w:t>
      </w:r>
      <w:proofErr w:type="spellStart"/>
      <w:r w:rsidR="009901E5" w:rsidRPr="00BA6979">
        <w:t>ies</w:t>
      </w:r>
      <w:proofErr w:type="spellEnd"/>
      <w:r w:rsidR="009901E5" w:rsidRPr="00BA6979">
        <w:t>)</w:t>
      </w:r>
      <w:r w:rsidR="008B12C7" w:rsidRPr="00BA6979">
        <w:t>,</w:t>
      </w:r>
      <w:r w:rsidR="008B4806" w:rsidRPr="00BA6979">
        <w:t xml:space="preserve"> </w:t>
      </w:r>
      <w:r w:rsidR="0068216F" w:rsidRPr="00BA6979">
        <w:t>an</w:t>
      </w:r>
      <w:r w:rsidR="008B4806" w:rsidRPr="00BA6979">
        <w:t xml:space="preserve"> action</w:t>
      </w:r>
      <w:r w:rsidR="008B12C7" w:rsidRPr="00BA6979">
        <w:t xml:space="preserve"> or specific activities</w:t>
      </w:r>
      <w:r w:rsidR="008B4806" w:rsidRPr="00BA6979">
        <w:t>.</w:t>
      </w:r>
    </w:p>
    <w:p w14:paraId="08F37C25" w14:textId="77777777" w:rsidR="002128D0" w:rsidRDefault="00C52EA8" w:rsidP="00F36C74">
      <w:pPr>
        <w:spacing w:after="120" w:line="240" w:lineRule="atLeast"/>
      </w:pPr>
      <w:r w:rsidRPr="00BA6979">
        <w:t xml:space="preserve">No individual replies will be given to questions. All questions and answers as well as other important notices to applicants during the course of the evaluation procedure </w:t>
      </w:r>
      <w:r w:rsidR="005649CD" w:rsidRPr="00BA6979">
        <w:t xml:space="preserve">will </w:t>
      </w:r>
      <w:r w:rsidR="008B4806" w:rsidRPr="00BA6979">
        <w:t>be published on the</w:t>
      </w:r>
      <w:r w:rsidR="001249D9" w:rsidRPr="00BA6979">
        <w:t xml:space="preserve"> </w:t>
      </w:r>
      <w:r w:rsidR="003956DF" w:rsidRPr="00BA6979">
        <w:t>website</w:t>
      </w:r>
      <w:r w:rsidR="001249D9" w:rsidRPr="00BA6979">
        <w:t xml:space="preserve"> </w:t>
      </w:r>
      <w:r w:rsidR="00832ACF">
        <w:rPr>
          <w:szCs w:val="22"/>
        </w:rPr>
        <w:t xml:space="preserve">where the call was published: website </w:t>
      </w:r>
      <w:r w:rsidR="001249D9" w:rsidRPr="00BA6979">
        <w:t>of DG International</w:t>
      </w:r>
      <w:r w:rsidR="00967B34">
        <w:t xml:space="preserve"> Partnerships</w:t>
      </w:r>
      <w:r w:rsidR="003956DF" w:rsidRPr="00BA6979">
        <w:t xml:space="preserve"> </w:t>
      </w:r>
      <w:hyperlink r:id="rId28" w:history="1">
        <w:r w:rsidR="00AD295A" w:rsidRPr="009C76F9">
          <w:rPr>
            <w:rStyle w:val="Hyperlink"/>
            <w:szCs w:val="22"/>
          </w:rPr>
          <w:t>https://ec.europa.eu/international-partnerships/home_fr</w:t>
        </w:r>
      </w:hyperlink>
      <w:r w:rsidR="00AD295A">
        <w:rPr>
          <w:szCs w:val="22"/>
        </w:rPr>
        <w:t xml:space="preserve"> </w:t>
      </w:r>
      <w:r w:rsidR="00E546B4">
        <w:rPr>
          <w:szCs w:val="22"/>
        </w:rPr>
        <w:t>and/</w:t>
      </w:r>
      <w:r w:rsidR="00832ACF" w:rsidRPr="00232301">
        <w:rPr>
          <w:szCs w:val="22"/>
        </w:rPr>
        <w:t xml:space="preserve">or </w:t>
      </w:r>
      <w:r w:rsidR="00933F69" w:rsidRPr="00933F69">
        <w:t xml:space="preserve">Funding &amp; </w:t>
      </w:r>
      <w:r w:rsidR="00933F69">
        <w:t>T</w:t>
      </w:r>
      <w:r w:rsidR="00832ACF" w:rsidRPr="00232301">
        <w:t>ender opportunities (F&amp;T Portal)</w:t>
      </w:r>
      <w:r w:rsidR="00832ACF" w:rsidRPr="00832ACF">
        <w:rPr>
          <w:szCs w:val="22"/>
          <w:u w:val="single"/>
        </w:rPr>
        <w:t xml:space="preserve"> </w:t>
      </w:r>
      <w:hyperlink r:id="rId29" w:history="1">
        <w:r w:rsidR="00832ACF" w:rsidRPr="00832ACF">
          <w:rPr>
            <w:rStyle w:val="Hyperlink"/>
            <w:szCs w:val="22"/>
          </w:rPr>
          <w:t>https://ec.europa.eu/info/funding-tenders/opportunities/portal/screen/home</w:t>
        </w:r>
      </w:hyperlink>
      <w:r w:rsidR="00832ACF" w:rsidRPr="00832ACF">
        <w:rPr>
          <w:szCs w:val="22"/>
        </w:rPr>
        <w:t xml:space="preserve"> </w:t>
      </w:r>
      <w:r w:rsidR="001A3322" w:rsidRPr="00BA6979">
        <w:t>as the need arises</w:t>
      </w:r>
      <w:r w:rsidR="008B4806" w:rsidRPr="00BA6979">
        <w:t>.</w:t>
      </w:r>
      <w:r w:rsidR="002128D0" w:rsidRPr="00BA6979">
        <w:t xml:space="preserve"> It is therefore </w:t>
      </w:r>
      <w:r w:rsidR="005649CD" w:rsidRPr="00BA6979">
        <w:t>advisable</w:t>
      </w:r>
      <w:r w:rsidR="002128D0" w:rsidRPr="00BA6979">
        <w:t xml:space="preserve"> to consult the abovementioned website</w:t>
      </w:r>
      <w:r w:rsidR="00523F64">
        <w:t>(s)</w:t>
      </w:r>
      <w:r w:rsidR="005649CD" w:rsidRPr="00BA6979">
        <w:t xml:space="preserve"> regularly</w:t>
      </w:r>
      <w:r w:rsidR="002128D0" w:rsidRPr="00BA6979">
        <w:t xml:space="preserve"> in order to be informed of the questions and answers published</w:t>
      </w:r>
      <w:r w:rsidR="002128D0" w:rsidRPr="00B723AF">
        <w:t>.</w:t>
      </w:r>
    </w:p>
    <w:p w14:paraId="7FEE4C90" w14:textId="77777777" w:rsidR="001A27A5" w:rsidRDefault="001A27A5" w:rsidP="00F36C74">
      <w:pPr>
        <w:spacing w:after="120" w:line="240" w:lineRule="atLeast"/>
      </w:pPr>
      <w:r w:rsidRPr="00FE05D4">
        <w:t>All questions related to registration in PADOR or the online submission via PROSPECT should be addressed to the IT helpdesk at</w:t>
      </w:r>
      <w:r w:rsidR="005E4863">
        <w:t xml:space="preserve"> </w:t>
      </w:r>
      <w:hyperlink r:id="rId30" w:history="1">
        <w:r w:rsidR="005E4863" w:rsidRPr="005E4863">
          <w:rPr>
            <w:rStyle w:val="Hyperlink"/>
            <w:lang w:val="en-IE"/>
          </w:rPr>
          <w:t>ec-external-relations-application-support@ec.europa.eu</w:t>
        </w:r>
      </w:hyperlink>
      <w:r w:rsidR="001F08AD">
        <w:rPr>
          <w:lang w:val="en-IE"/>
        </w:rPr>
        <w:t xml:space="preserve"> </w:t>
      </w:r>
      <w:hyperlink r:id="rId31" w:history="1"/>
      <w:r>
        <w:rPr>
          <w:b/>
        </w:rPr>
        <w:t>via the online support form in PROSPECT:</w:t>
      </w:r>
      <w:r>
        <w:t xml:space="preserve"> Please note that the working languages of the IT support are English French and Spanish. Therefore</w:t>
      </w:r>
      <w:r w:rsidR="00BC4CCE">
        <w:t>,</w:t>
      </w:r>
      <w:r>
        <w:t xml:space="preserve"> users are invited to send their questions in English, French or Spanish should they wish to benefit from an optimum response time.</w:t>
      </w:r>
    </w:p>
    <w:p w14:paraId="73FC2832" w14:textId="77777777" w:rsidR="00E80008" w:rsidRPr="00807DAF" w:rsidRDefault="00E80008" w:rsidP="00F36C74">
      <w:pPr>
        <w:spacing w:after="120" w:line="240" w:lineRule="atLeast"/>
      </w:pPr>
      <w:r w:rsidRPr="00BA6979">
        <w:rPr>
          <w:snapToGrid w:val="0"/>
          <w:szCs w:val="22"/>
        </w:rPr>
        <w:t xml:space="preserve">Please note that the contracting authority may decide to cancel the call for proposals procedure at any stage according to the conditions set out in Section 6.5.9 of the </w:t>
      </w:r>
      <w:r w:rsidR="009556E4">
        <w:rPr>
          <w:snapToGrid w:val="0"/>
          <w:szCs w:val="22"/>
        </w:rPr>
        <w:t>practical guide</w:t>
      </w:r>
      <w:r w:rsidR="0090348E">
        <w:rPr>
          <w:snapToGrid w:val="0"/>
          <w:szCs w:val="22"/>
        </w:rPr>
        <w:t>.</w:t>
      </w:r>
    </w:p>
    <w:p w14:paraId="2B9EF7FB" w14:textId="77777777" w:rsidR="008B4806" w:rsidRPr="00BA6979" w:rsidRDefault="00E64637" w:rsidP="00EA610C">
      <w:pPr>
        <w:pStyle w:val="Guidelines3"/>
        <w:numPr>
          <w:ilvl w:val="2"/>
          <w:numId w:val="6"/>
        </w:numPr>
      </w:pPr>
      <w:bookmarkStart w:id="58" w:name="_Toc185257682"/>
      <w:bookmarkStart w:id="59" w:name="_Toc125454356"/>
      <w:r w:rsidRPr="00BA6979">
        <w:t xml:space="preserve">Full </w:t>
      </w:r>
      <w:r w:rsidR="005A0945" w:rsidRPr="00BA6979">
        <w:t>a</w:t>
      </w:r>
      <w:r w:rsidR="008B4806" w:rsidRPr="00BA6979">
        <w:t>pplication</w:t>
      </w:r>
      <w:r w:rsidR="005A0945" w:rsidRPr="00BA6979">
        <w:t>s</w:t>
      </w:r>
      <w:bookmarkEnd w:id="58"/>
      <w:r w:rsidR="008B4806" w:rsidRPr="00BA6979">
        <w:t xml:space="preserve"> </w:t>
      </w:r>
      <w:bookmarkEnd w:id="59"/>
    </w:p>
    <w:p w14:paraId="0C9C2EBB" w14:textId="77777777" w:rsidR="008B4806" w:rsidRPr="00BA6979" w:rsidRDefault="00B114D9" w:rsidP="00F36C74">
      <w:pPr>
        <w:spacing w:after="120" w:line="240" w:lineRule="atLeast"/>
        <w:rPr>
          <w:color w:val="000000"/>
        </w:rPr>
      </w:pPr>
      <w:r w:rsidRPr="00BA6979">
        <w:t>Lead a</w:t>
      </w:r>
      <w:r w:rsidR="008B4806" w:rsidRPr="00BA6979">
        <w:t>pplicant</w:t>
      </w:r>
      <w:r w:rsidR="005A0945" w:rsidRPr="00BA6979">
        <w:t>s</w:t>
      </w:r>
      <w:r w:rsidR="008B4806" w:rsidRPr="00BA6979">
        <w:t xml:space="preserve"> invited to submit a full application following </w:t>
      </w:r>
      <w:r w:rsidR="001A3322" w:rsidRPr="00BA6979">
        <w:t>pre-selection of the</w:t>
      </w:r>
      <w:r w:rsidR="005649CD" w:rsidRPr="00BA6979">
        <w:t>ir</w:t>
      </w:r>
      <w:r w:rsidR="001A3322" w:rsidRPr="00BA6979">
        <w:t xml:space="preserve"> </w:t>
      </w:r>
      <w:r w:rsidR="005A0945" w:rsidRPr="00BA6979">
        <w:t>c</w:t>
      </w:r>
      <w:r w:rsidR="001A3322" w:rsidRPr="00BA6979">
        <w:t>on</w:t>
      </w:r>
      <w:r w:rsidR="006E2FAE" w:rsidRPr="00BA6979">
        <w:t>c</w:t>
      </w:r>
      <w:r w:rsidR="001A3322" w:rsidRPr="00BA6979">
        <w:t xml:space="preserve">ept </w:t>
      </w:r>
      <w:r w:rsidR="005A0945" w:rsidRPr="00BA6979">
        <w:t>n</w:t>
      </w:r>
      <w:r w:rsidR="001A3322" w:rsidRPr="00BA6979">
        <w:t xml:space="preserve">ote </w:t>
      </w:r>
      <w:r w:rsidR="008B4806" w:rsidRPr="00BA6979">
        <w:t xml:space="preserve">must do so using </w:t>
      </w:r>
      <w:r w:rsidR="00227148" w:rsidRPr="00BA6979">
        <w:t xml:space="preserve">the </w:t>
      </w:r>
      <w:r w:rsidR="005A0945" w:rsidRPr="00BA6979">
        <w:t xml:space="preserve">grant </w:t>
      </w:r>
      <w:r w:rsidR="008B4806" w:rsidRPr="00BA6979">
        <w:t xml:space="preserve">application form annexed to these </w:t>
      </w:r>
      <w:r w:rsidR="005A0945" w:rsidRPr="00BA6979">
        <w:t>g</w:t>
      </w:r>
      <w:r w:rsidR="008B4806" w:rsidRPr="00BA6979">
        <w:t xml:space="preserve">uidelines (Annex </w:t>
      </w:r>
      <w:r w:rsidR="00227148" w:rsidRPr="00BA6979">
        <w:t>A</w:t>
      </w:r>
      <w:r w:rsidR="00833964" w:rsidRPr="00BA6979">
        <w:t>.2</w:t>
      </w:r>
      <w:r w:rsidR="0098514F">
        <w:t xml:space="preserve"> </w:t>
      </w:r>
      <w:r w:rsidR="0098514F" w:rsidRPr="0098514F">
        <w:t>– Grant application form – Full application).</w:t>
      </w:r>
      <w:r w:rsidR="008B4806" w:rsidRPr="00BA6979">
        <w:t xml:space="preserve">). </w:t>
      </w:r>
      <w:r w:rsidRPr="00BA6979">
        <w:t>Lead a</w:t>
      </w:r>
      <w:r w:rsidR="008B4806" w:rsidRPr="00BA6979">
        <w:t>pplicants should</w:t>
      </w:r>
      <w:r w:rsidR="009901E5" w:rsidRPr="00BA6979">
        <w:t xml:space="preserve"> then</w:t>
      </w:r>
      <w:r w:rsidR="008B4806" w:rsidRPr="00BA6979">
        <w:t xml:space="preserve"> keep strictly to the format of the </w:t>
      </w:r>
      <w:r w:rsidR="005A0945" w:rsidRPr="00BA6979">
        <w:t xml:space="preserve">grant </w:t>
      </w:r>
      <w:r w:rsidR="008B4806" w:rsidRPr="00BA6979">
        <w:t>application</w:t>
      </w:r>
      <w:r w:rsidR="001A3322" w:rsidRPr="00BA6979">
        <w:t xml:space="preserve"> form</w:t>
      </w:r>
      <w:r w:rsidR="008B4806" w:rsidRPr="00BA6979">
        <w:t xml:space="preserve"> and fill in the paragraphs and pages in order.</w:t>
      </w:r>
    </w:p>
    <w:p w14:paraId="5EB9678A" w14:textId="77777777" w:rsidR="00B723AF" w:rsidRPr="00BA6979" w:rsidRDefault="00B723AF" w:rsidP="00F36C74">
      <w:pPr>
        <w:spacing w:after="120" w:line="240" w:lineRule="atLeast"/>
        <w:rPr>
          <w:color w:val="000000"/>
        </w:rPr>
      </w:pPr>
      <w:r w:rsidRPr="00BA6979">
        <w:rPr>
          <w:color w:val="000000"/>
        </w:rPr>
        <w:t>The elements outlined in the concept note may not be modified in the full application</w:t>
      </w:r>
      <w:r w:rsidR="00894779">
        <w:rPr>
          <w:color w:val="000000"/>
        </w:rPr>
        <w:t xml:space="preserve">, </w:t>
      </w:r>
      <w:r w:rsidR="00894779" w:rsidRPr="00894779">
        <w:rPr>
          <w:color w:val="000000"/>
        </w:rPr>
        <w:t>except for the changes described below:</w:t>
      </w:r>
      <w:r w:rsidRPr="00BA6979">
        <w:rPr>
          <w:color w:val="000000"/>
        </w:rPr>
        <w:t xml:space="preserve"> </w:t>
      </w:r>
    </w:p>
    <w:p w14:paraId="09C60E66" w14:textId="77777777" w:rsidR="00B723AF" w:rsidRPr="00BA6979" w:rsidRDefault="00B723AF" w:rsidP="00EA610C">
      <w:pPr>
        <w:numPr>
          <w:ilvl w:val="0"/>
          <w:numId w:val="24"/>
        </w:numPr>
        <w:spacing w:after="120" w:line="240" w:lineRule="atLeast"/>
        <w:ind w:left="709" w:hanging="425"/>
        <w:rPr>
          <w:color w:val="000000"/>
        </w:rPr>
      </w:pPr>
      <w:r w:rsidRPr="00BA6979">
        <w:rPr>
          <w:color w:val="000000"/>
        </w:rPr>
        <w:t>The EU contribution may not vary from the initial estimate by more than 20</w:t>
      </w:r>
      <w:r w:rsidRPr="000275A9">
        <w:rPr>
          <w:color w:val="000000"/>
        </w:rPr>
        <w:t> </w:t>
      </w:r>
      <w:r w:rsidRPr="00BA6979">
        <w:rPr>
          <w:color w:val="000000"/>
        </w:rPr>
        <w:t>%. Lead applicants are free to adapt the percentage of co-financing required within the minimum and maximum amount and percentages of co-financing, as laid down in these guidelines in Section 1.3</w:t>
      </w:r>
      <w:r w:rsidR="001F08AD">
        <w:rPr>
          <w:color w:val="000000"/>
        </w:rPr>
        <w:t xml:space="preserve"> </w:t>
      </w:r>
      <w:bookmarkStart w:id="60" w:name="_Hlk163813525"/>
      <w:r w:rsidR="001F08AD">
        <w:t>(only applicable in the case of grants taking the form, totally or partially, of reimbursement of costs)</w:t>
      </w:r>
      <w:bookmarkEnd w:id="60"/>
      <w:r w:rsidRPr="00BA6979">
        <w:rPr>
          <w:color w:val="000000"/>
        </w:rPr>
        <w:t>.</w:t>
      </w:r>
      <w:r w:rsidRPr="00BA6979">
        <w:rPr>
          <w:iCs/>
          <w:color w:val="000000"/>
        </w:rPr>
        <w:t xml:space="preserve"> </w:t>
      </w:r>
    </w:p>
    <w:p w14:paraId="0E231CCD" w14:textId="77777777" w:rsidR="00B723AF" w:rsidRPr="00BA6979" w:rsidRDefault="00B723AF" w:rsidP="00EA610C">
      <w:pPr>
        <w:numPr>
          <w:ilvl w:val="0"/>
          <w:numId w:val="24"/>
        </w:numPr>
        <w:spacing w:after="120" w:line="240" w:lineRule="atLeast"/>
        <w:ind w:left="709" w:hanging="425"/>
        <w:rPr>
          <w:color w:val="000000"/>
        </w:rPr>
      </w:pPr>
      <w:r w:rsidRPr="00BA6979">
        <w:rPr>
          <w:iCs/>
          <w:color w:val="000000"/>
        </w:rPr>
        <w:t>The lead applicant may add, remove or replace one or more co-applicant(s) or affiliated entity(</w:t>
      </w:r>
      <w:proofErr w:type="spellStart"/>
      <w:r w:rsidRPr="00BA6979">
        <w:rPr>
          <w:iCs/>
          <w:color w:val="000000"/>
        </w:rPr>
        <w:t>ies</w:t>
      </w:r>
      <w:proofErr w:type="spellEnd"/>
      <w:r w:rsidRPr="00BA6979">
        <w:rPr>
          <w:iCs/>
          <w:color w:val="000000"/>
        </w:rPr>
        <w:t>)</w:t>
      </w:r>
      <w:r w:rsidR="0090348E">
        <w:rPr>
          <w:iCs/>
          <w:color w:val="000000"/>
        </w:rPr>
        <w:t xml:space="preserve"> </w:t>
      </w:r>
      <w:r w:rsidRPr="00BA6979">
        <w:rPr>
          <w:iCs/>
          <w:color w:val="000000"/>
        </w:rPr>
        <w:t xml:space="preserve">only in duly justified cases. </w:t>
      </w:r>
    </w:p>
    <w:p w14:paraId="74148B5C" w14:textId="77777777" w:rsidR="00B723AF" w:rsidRPr="00BA6979" w:rsidRDefault="00B723AF" w:rsidP="00EA610C">
      <w:pPr>
        <w:numPr>
          <w:ilvl w:val="0"/>
          <w:numId w:val="24"/>
        </w:numPr>
        <w:spacing w:after="120" w:line="240" w:lineRule="atLeast"/>
        <w:ind w:left="709" w:hanging="425"/>
        <w:rPr>
          <w:color w:val="000000"/>
        </w:rPr>
      </w:pPr>
      <w:r w:rsidRPr="00BA6979">
        <w:rPr>
          <w:iCs/>
          <w:color w:val="000000"/>
        </w:rPr>
        <w:t xml:space="preserve">The lead applicant may adjust the duration of the action if unforeseen circumstances </w:t>
      </w:r>
      <w:r w:rsidR="001F08AD">
        <w:rPr>
          <w:iCs/>
          <w:color w:val="000000"/>
        </w:rPr>
        <w:t>beyond</w:t>
      </w:r>
      <w:r w:rsidRPr="00BA6979">
        <w:rPr>
          <w:iCs/>
          <w:color w:val="000000"/>
        </w:rPr>
        <w:t xml:space="preserve"> the </w:t>
      </w:r>
      <w:proofErr w:type="gramStart"/>
      <w:r w:rsidRPr="00BA6979">
        <w:rPr>
          <w:iCs/>
          <w:color w:val="000000"/>
        </w:rPr>
        <w:t>applicants</w:t>
      </w:r>
      <w:proofErr w:type="gramEnd"/>
      <w:r w:rsidRPr="00BA6979">
        <w:rPr>
          <w:iCs/>
          <w:color w:val="000000"/>
        </w:rPr>
        <w:t xml:space="preserve"> </w:t>
      </w:r>
      <w:r w:rsidR="001F08AD">
        <w:rPr>
          <w:iCs/>
          <w:color w:val="000000"/>
        </w:rPr>
        <w:t xml:space="preserve">control </w:t>
      </w:r>
      <w:r w:rsidRPr="00BA6979">
        <w:rPr>
          <w:iCs/>
          <w:color w:val="000000"/>
        </w:rPr>
        <w:t>have taken place following the submission of the concept note and require such adaptation (risk of action not being carried out). In such cases</w:t>
      </w:r>
      <w:r w:rsidR="00AD295A">
        <w:rPr>
          <w:iCs/>
          <w:color w:val="000000"/>
        </w:rPr>
        <w:t>,</w:t>
      </w:r>
      <w:r w:rsidRPr="00BA6979">
        <w:rPr>
          <w:iCs/>
          <w:color w:val="000000"/>
        </w:rPr>
        <w:t xml:space="preserve"> the duration must remain within the limits imposed by the guidelines for applicants. </w:t>
      </w:r>
    </w:p>
    <w:p w14:paraId="53332CAD" w14:textId="77777777" w:rsidR="00B723AF" w:rsidRPr="00BA6979" w:rsidRDefault="00B723AF" w:rsidP="00F36C74">
      <w:pPr>
        <w:spacing w:after="120" w:line="240" w:lineRule="atLeast"/>
        <w:rPr>
          <w:b/>
          <w:color w:val="000000"/>
        </w:rPr>
      </w:pPr>
      <w:r w:rsidRPr="00BA6979">
        <w:rPr>
          <w:b/>
          <w:iCs/>
          <w:color w:val="000000"/>
        </w:rPr>
        <w:t>An explanation/justification of the relevant replacements/adjustments shall be included in Annex A.2</w:t>
      </w:r>
      <w:r w:rsidR="00465AA9">
        <w:rPr>
          <w:b/>
          <w:iCs/>
          <w:color w:val="000000"/>
        </w:rPr>
        <w:t xml:space="preserve"> </w:t>
      </w:r>
      <w:r w:rsidR="00AD295A">
        <w:rPr>
          <w:b/>
          <w:iCs/>
          <w:color w:val="000000"/>
        </w:rPr>
        <w:t>– Instructions</w:t>
      </w:r>
      <w:r w:rsidR="00465AA9" w:rsidRPr="007B1B61">
        <w:rPr>
          <w:b/>
          <w:iCs/>
          <w:color w:val="000000"/>
        </w:rPr>
        <w:t xml:space="preserve"> for drafting </w:t>
      </w:r>
      <w:r w:rsidR="00465AA9">
        <w:rPr>
          <w:b/>
          <w:iCs/>
          <w:color w:val="000000"/>
        </w:rPr>
        <w:t>the Full Application, section 2.1.1, point viii.</w:t>
      </w:r>
      <w:r w:rsidR="002421FF">
        <w:rPr>
          <w:b/>
          <w:iCs/>
          <w:color w:val="000000"/>
        </w:rPr>
        <w:t xml:space="preserve"> </w:t>
      </w:r>
      <w:r w:rsidRPr="00BA6979">
        <w:rPr>
          <w:b/>
          <w:iCs/>
          <w:color w:val="000000"/>
        </w:rPr>
        <w:t xml:space="preserve">Should the explanation/justification not be accepted by the </w:t>
      </w:r>
      <w:r w:rsidR="00211ADF">
        <w:rPr>
          <w:b/>
          <w:iCs/>
          <w:color w:val="000000"/>
        </w:rPr>
        <w:t>e</w:t>
      </w:r>
      <w:r w:rsidRPr="00BA6979">
        <w:rPr>
          <w:b/>
          <w:iCs/>
          <w:color w:val="000000"/>
        </w:rPr>
        <w:t xml:space="preserve">valuation </w:t>
      </w:r>
      <w:r w:rsidR="00211ADF">
        <w:rPr>
          <w:b/>
          <w:iCs/>
          <w:color w:val="000000"/>
        </w:rPr>
        <w:t>c</w:t>
      </w:r>
      <w:r w:rsidRPr="00BA6979">
        <w:rPr>
          <w:b/>
          <w:iCs/>
          <w:color w:val="000000"/>
        </w:rPr>
        <w:t>ommittee, the proposal may be rejected on that sole basis.</w:t>
      </w:r>
    </w:p>
    <w:p w14:paraId="6D45C42F" w14:textId="77777777" w:rsidR="00894779" w:rsidRDefault="00B114D9" w:rsidP="00F36C74">
      <w:pPr>
        <w:spacing w:after="120" w:line="240" w:lineRule="atLeast"/>
        <w:rPr>
          <w:color w:val="000000"/>
        </w:rPr>
      </w:pPr>
      <w:bookmarkStart w:id="61" w:name="_Hlk522123599"/>
      <w:r w:rsidRPr="00BA6979">
        <w:rPr>
          <w:color w:val="000000"/>
        </w:rPr>
        <w:t>Lead a</w:t>
      </w:r>
      <w:r w:rsidR="008B4806" w:rsidRPr="00BA6979">
        <w:rPr>
          <w:color w:val="000000"/>
        </w:rPr>
        <w:t xml:space="preserve">pplicants must submit their </w:t>
      </w:r>
      <w:r w:rsidR="00F90A41" w:rsidRPr="00BA6979">
        <w:rPr>
          <w:color w:val="000000"/>
        </w:rPr>
        <w:t xml:space="preserve">full </w:t>
      </w:r>
      <w:r w:rsidR="008B4806" w:rsidRPr="00BA6979">
        <w:rPr>
          <w:color w:val="000000"/>
        </w:rPr>
        <w:t xml:space="preserve">applications in the same language as their </w:t>
      </w:r>
      <w:r w:rsidR="005A0945" w:rsidRPr="00BA6979">
        <w:rPr>
          <w:color w:val="000000"/>
        </w:rPr>
        <w:t>c</w:t>
      </w:r>
      <w:r w:rsidR="008B4806" w:rsidRPr="00BA6979">
        <w:rPr>
          <w:color w:val="000000"/>
        </w:rPr>
        <w:t xml:space="preserve">oncept </w:t>
      </w:r>
      <w:r w:rsidR="005A0945" w:rsidRPr="00BA6979">
        <w:rPr>
          <w:color w:val="000000"/>
        </w:rPr>
        <w:t>n</w:t>
      </w:r>
      <w:r w:rsidR="008B4806" w:rsidRPr="00BA6979">
        <w:rPr>
          <w:color w:val="000000"/>
        </w:rPr>
        <w:t>ote</w:t>
      </w:r>
      <w:r w:rsidR="00F90A41" w:rsidRPr="00BA6979">
        <w:rPr>
          <w:color w:val="000000"/>
        </w:rPr>
        <w:t>s</w:t>
      </w:r>
      <w:r w:rsidR="008B4806" w:rsidRPr="00BA6979">
        <w:rPr>
          <w:color w:val="000000"/>
        </w:rPr>
        <w:t>.</w:t>
      </w:r>
      <w:r w:rsidR="00CA310C" w:rsidRPr="00BA6979">
        <w:rPr>
          <w:color w:val="000000"/>
        </w:rPr>
        <w:t xml:space="preserve"> </w:t>
      </w:r>
    </w:p>
    <w:bookmarkEnd w:id="61"/>
    <w:p w14:paraId="28842906" w14:textId="77777777" w:rsidR="003956DF" w:rsidRPr="00BA6979" w:rsidRDefault="003956DF" w:rsidP="00F36C74">
      <w:pPr>
        <w:spacing w:after="120" w:line="240" w:lineRule="atLeast"/>
        <w:rPr>
          <w:color w:val="000000"/>
        </w:rPr>
      </w:pPr>
      <w:r w:rsidRPr="00BA6979">
        <w:t>Please complete the</w:t>
      </w:r>
      <w:r w:rsidR="00227148" w:rsidRPr="00BA6979">
        <w:t xml:space="preserve"> full</w:t>
      </w:r>
      <w:r w:rsidRPr="00BA6979">
        <w:t xml:space="preserve"> application form carefully and as clearly as possible so that it can be assessed properly.</w:t>
      </w:r>
      <w:r w:rsidRPr="00BA6979">
        <w:rPr>
          <w:color w:val="000000"/>
        </w:rPr>
        <w:t xml:space="preserve"> </w:t>
      </w:r>
    </w:p>
    <w:p w14:paraId="71269F06" w14:textId="77777777" w:rsidR="003956DF" w:rsidRPr="00BA6979" w:rsidRDefault="003956DF" w:rsidP="00F36C74">
      <w:pPr>
        <w:spacing w:after="120" w:line="240" w:lineRule="atLeast"/>
        <w:rPr>
          <w:color w:val="000000"/>
        </w:rPr>
      </w:pPr>
      <w:r w:rsidRPr="00BA6979">
        <w:rPr>
          <w:color w:val="000000"/>
        </w:rPr>
        <w:lastRenderedPageBreak/>
        <w:t xml:space="preserve">Any error related to the points listed in the </w:t>
      </w:r>
      <w:r w:rsidR="003A23FE" w:rsidRPr="00BA6979">
        <w:rPr>
          <w:color w:val="000000"/>
        </w:rPr>
        <w:t>c</w:t>
      </w:r>
      <w:r w:rsidRPr="00BA6979">
        <w:rPr>
          <w:color w:val="000000"/>
        </w:rPr>
        <w:t>hecklist (</w:t>
      </w:r>
      <w:r w:rsidR="00964FB0" w:rsidRPr="00BA6979">
        <w:rPr>
          <w:color w:val="000000"/>
        </w:rPr>
        <w:t>Annex A</w:t>
      </w:r>
      <w:r w:rsidR="00F43773" w:rsidRPr="00BA6979">
        <w:rPr>
          <w:color w:val="000000"/>
        </w:rPr>
        <w:t>.</w:t>
      </w:r>
      <w:r w:rsidR="00964FB0" w:rsidRPr="00BA6979">
        <w:rPr>
          <w:color w:val="000000"/>
        </w:rPr>
        <w:t>2</w:t>
      </w:r>
      <w:r w:rsidR="006459C5" w:rsidRPr="00BA6979">
        <w:rPr>
          <w:color w:val="000000"/>
        </w:rPr>
        <w:t xml:space="preserve">, </w:t>
      </w:r>
      <w:r w:rsidR="00F43773" w:rsidRPr="00BA6979">
        <w:rPr>
          <w:color w:val="000000"/>
        </w:rPr>
        <w:t>Instructions</w:t>
      </w:r>
      <w:r w:rsidRPr="00BA6979">
        <w:rPr>
          <w:color w:val="000000"/>
        </w:rPr>
        <w:t xml:space="preserve">) or any major inconsistency in the </w:t>
      </w:r>
      <w:r w:rsidR="00227148" w:rsidRPr="00BA6979">
        <w:rPr>
          <w:color w:val="000000"/>
        </w:rPr>
        <w:t xml:space="preserve">full </w:t>
      </w:r>
      <w:r w:rsidRPr="00BA6979">
        <w:rPr>
          <w:color w:val="000000"/>
        </w:rPr>
        <w:t>application (</w:t>
      </w:r>
      <w:proofErr w:type="gramStart"/>
      <w:r w:rsidRPr="00BA6979">
        <w:rPr>
          <w:color w:val="000000"/>
        </w:rPr>
        <w:t>e.g.</w:t>
      </w:r>
      <w:proofErr w:type="gramEnd"/>
      <w:r w:rsidRPr="00BA6979">
        <w:rPr>
          <w:color w:val="000000"/>
        </w:rPr>
        <w:t xml:space="preserve"> </w:t>
      </w:r>
      <w:r w:rsidR="0040484C" w:rsidRPr="00BA6979">
        <w:rPr>
          <w:color w:val="000000"/>
        </w:rPr>
        <w:t xml:space="preserve">if </w:t>
      </w:r>
      <w:r w:rsidRPr="00BA6979">
        <w:rPr>
          <w:color w:val="000000"/>
        </w:rPr>
        <w:t xml:space="preserve">the amounts in the budget </w:t>
      </w:r>
      <w:r w:rsidR="00AD5C5F" w:rsidRPr="00BA6979">
        <w:rPr>
          <w:color w:val="000000"/>
        </w:rPr>
        <w:t xml:space="preserve">worksheets </w:t>
      </w:r>
      <w:r w:rsidRPr="00BA6979">
        <w:rPr>
          <w:color w:val="000000"/>
        </w:rPr>
        <w:t>are inconsist</w:t>
      </w:r>
      <w:r w:rsidR="00AD5C5F" w:rsidRPr="00BA6979">
        <w:rPr>
          <w:color w:val="000000"/>
        </w:rPr>
        <w:t>ent</w:t>
      </w:r>
      <w:r w:rsidRPr="00BA6979">
        <w:rPr>
          <w:color w:val="000000"/>
        </w:rPr>
        <w:t xml:space="preserve">) may lead to the rejection of the </w:t>
      </w:r>
      <w:r w:rsidR="006459C5" w:rsidRPr="00BA6979">
        <w:rPr>
          <w:color w:val="000000"/>
        </w:rPr>
        <w:t>application</w:t>
      </w:r>
      <w:r w:rsidRPr="00BA6979">
        <w:rPr>
          <w:color w:val="000000"/>
        </w:rPr>
        <w:t>.</w:t>
      </w:r>
    </w:p>
    <w:p w14:paraId="71AF8CD5" w14:textId="77777777" w:rsidR="003956DF" w:rsidRPr="00BA6979" w:rsidRDefault="003956DF" w:rsidP="00F36C74">
      <w:pPr>
        <w:spacing w:after="120" w:line="240" w:lineRule="atLeast"/>
      </w:pPr>
      <w:r w:rsidRPr="00BA6979">
        <w:t>Clarifications will only be requested when information provided is unclear</w:t>
      </w:r>
      <w:r w:rsidR="0040484C" w:rsidRPr="00BA6979">
        <w:t xml:space="preserve"> and</w:t>
      </w:r>
      <w:r w:rsidRPr="00BA6979">
        <w:t xml:space="preserve"> thus prevent</w:t>
      </w:r>
      <w:r w:rsidR="0040484C" w:rsidRPr="00BA6979">
        <w:t>s</w:t>
      </w:r>
      <w:r w:rsidRPr="00BA6979">
        <w:t xml:space="preserve"> the </w:t>
      </w:r>
      <w:r w:rsidR="00AA0B45" w:rsidRPr="00BA6979">
        <w:t>c</w:t>
      </w:r>
      <w:r w:rsidRPr="00BA6979">
        <w:t xml:space="preserve">ontracting </w:t>
      </w:r>
      <w:r w:rsidR="00AA0B45" w:rsidRPr="00BA6979">
        <w:t>a</w:t>
      </w:r>
      <w:r w:rsidRPr="00BA6979">
        <w:t>uthority from conducting an objective assessment.</w:t>
      </w:r>
    </w:p>
    <w:p w14:paraId="76BAB7B2" w14:textId="77777777" w:rsidR="00E16F20" w:rsidRDefault="003956DF" w:rsidP="00F36C74">
      <w:pPr>
        <w:spacing w:after="120" w:line="240" w:lineRule="atLeast"/>
        <w:rPr>
          <w:b/>
          <w:szCs w:val="22"/>
          <w:lang w:eastAsia="en-GB"/>
        </w:rPr>
      </w:pPr>
      <w:r w:rsidRPr="00BA6979">
        <w:rPr>
          <w:szCs w:val="22"/>
          <w:lang w:eastAsia="en-GB"/>
        </w:rPr>
        <w:t xml:space="preserve">Please note that only the </w:t>
      </w:r>
      <w:r w:rsidR="00227148" w:rsidRPr="00BA6979">
        <w:rPr>
          <w:szCs w:val="22"/>
          <w:lang w:eastAsia="en-GB"/>
        </w:rPr>
        <w:t xml:space="preserve">full </w:t>
      </w:r>
      <w:r w:rsidRPr="00BA6979">
        <w:rPr>
          <w:szCs w:val="22"/>
          <w:lang w:eastAsia="en-GB"/>
        </w:rPr>
        <w:t xml:space="preserve">application form and the published annexes which have to be filled in (budget, logical framework) will be transmitted to the evaluators </w:t>
      </w:r>
      <w:r w:rsidR="008B1EA7" w:rsidRPr="00BA6979">
        <w:rPr>
          <w:szCs w:val="22"/>
          <w:lang w:eastAsia="en-GB"/>
        </w:rPr>
        <w:t>(</w:t>
      </w:r>
      <w:r w:rsidRPr="00BA6979">
        <w:rPr>
          <w:szCs w:val="22"/>
          <w:lang w:eastAsia="en-GB"/>
        </w:rPr>
        <w:t>and assessors</w:t>
      </w:r>
      <w:r w:rsidR="008B1EA7" w:rsidRPr="00BA6979">
        <w:rPr>
          <w:szCs w:val="22"/>
          <w:lang w:eastAsia="en-GB"/>
        </w:rPr>
        <w:t>, if used)</w:t>
      </w:r>
      <w:r w:rsidRPr="00BA6979">
        <w:rPr>
          <w:szCs w:val="22"/>
          <w:lang w:eastAsia="en-GB"/>
        </w:rPr>
        <w:t xml:space="preserve">. It is therefore of utmost importance that these documents contain ALL </w:t>
      </w:r>
      <w:r w:rsidR="0040484C" w:rsidRPr="00BA6979">
        <w:rPr>
          <w:szCs w:val="22"/>
          <w:lang w:eastAsia="en-GB"/>
        </w:rPr>
        <w:t xml:space="preserve">the </w:t>
      </w:r>
      <w:r w:rsidRPr="00BA6979">
        <w:rPr>
          <w:szCs w:val="22"/>
          <w:lang w:eastAsia="en-GB"/>
        </w:rPr>
        <w:t>relevant information concerning the action.</w:t>
      </w:r>
      <w:r w:rsidRPr="00BA6979">
        <w:rPr>
          <w:b/>
          <w:szCs w:val="22"/>
          <w:lang w:eastAsia="en-GB"/>
        </w:rPr>
        <w:t xml:space="preserve"> </w:t>
      </w:r>
    </w:p>
    <w:p w14:paraId="74260C4A" w14:textId="77777777" w:rsidR="00630A06" w:rsidRPr="00BE2542" w:rsidRDefault="00630A06" w:rsidP="00F36C74">
      <w:pPr>
        <w:spacing w:after="120" w:line="240" w:lineRule="atLeast"/>
        <w:rPr>
          <w:b/>
        </w:rPr>
      </w:pPr>
      <w:bookmarkStart w:id="62" w:name="_Hlk163807446"/>
      <w:r w:rsidRPr="00BA6979">
        <w:rPr>
          <w:b/>
          <w:u w:val="single"/>
        </w:rPr>
        <w:t>Please note that incomplete applications may be rejected</w:t>
      </w:r>
      <w:r w:rsidRPr="00FE05D4">
        <w:rPr>
          <w:b/>
        </w:rPr>
        <w:t>.</w:t>
      </w:r>
      <w:r>
        <w:rPr>
          <w:b/>
        </w:rPr>
        <w:t xml:space="preserve"> </w:t>
      </w:r>
      <w:r>
        <w:t>Lead a</w:t>
      </w:r>
      <w:r w:rsidRPr="003953A0">
        <w:t xml:space="preserve">pplicants </w:t>
      </w:r>
      <w:r>
        <w:t xml:space="preserve">are advised to </w:t>
      </w:r>
      <w:r w:rsidRPr="003953A0">
        <w:t>verify that their application is complete using the checklist</w:t>
      </w:r>
      <w:r>
        <w:t xml:space="preserve"> </w:t>
      </w:r>
      <w:r w:rsidRPr="003953A0">
        <w:t>(Annex A.2</w:t>
      </w:r>
      <w:r>
        <w:t>,</w:t>
      </w:r>
      <w:r w:rsidRPr="003953A0">
        <w:t xml:space="preserve"> </w:t>
      </w:r>
      <w:r>
        <w:t>Instructions</w:t>
      </w:r>
      <w:r w:rsidRPr="00564F01">
        <w:t>).</w:t>
      </w:r>
    </w:p>
    <w:bookmarkEnd w:id="62"/>
    <w:p w14:paraId="72B270FC" w14:textId="77777777" w:rsidR="008B69D1" w:rsidRDefault="008B69D1" w:rsidP="00F36C74">
      <w:pPr>
        <w:spacing w:after="120" w:line="240" w:lineRule="atLeast"/>
        <w:rPr>
          <w:color w:val="000000"/>
        </w:rPr>
      </w:pPr>
      <w:r>
        <w:rPr>
          <w:color w:val="000000"/>
        </w:rPr>
        <w:t>I</w:t>
      </w:r>
      <w:r w:rsidR="0041369D">
        <w:rPr>
          <w:color w:val="000000"/>
        </w:rPr>
        <w:t>f</w:t>
      </w:r>
      <w:r w:rsidRPr="00807DAF">
        <w:rPr>
          <w:color w:val="000000"/>
        </w:rPr>
        <w:t xml:space="preserve"> it is impossible to register </w:t>
      </w:r>
      <w:r>
        <w:rPr>
          <w:color w:val="000000"/>
        </w:rPr>
        <w:t xml:space="preserve">online </w:t>
      </w:r>
      <w:r w:rsidRPr="00807DAF">
        <w:rPr>
          <w:color w:val="000000"/>
        </w:rPr>
        <w:t>in PADOR</w:t>
      </w:r>
      <w:r>
        <w:rPr>
          <w:color w:val="000000"/>
        </w:rPr>
        <w:t xml:space="preserve"> for technical reasons</w:t>
      </w:r>
      <w:r w:rsidR="001F08AD">
        <w:rPr>
          <w:color w:val="000000"/>
        </w:rPr>
        <w:t>, or for confidentiality and security concerns</w:t>
      </w:r>
      <w:r w:rsidRPr="00807DAF">
        <w:rPr>
          <w:color w:val="000000"/>
        </w:rPr>
        <w:t xml:space="preserve">, </w:t>
      </w:r>
      <w:r w:rsidR="00E16F20" w:rsidRPr="00BA6979">
        <w:rPr>
          <w:b/>
          <w:szCs w:val="22"/>
          <w:lang w:eastAsia="en-GB"/>
        </w:rPr>
        <w:t>the lead applicant has to submit</w:t>
      </w:r>
      <w:r>
        <w:rPr>
          <w:b/>
          <w:szCs w:val="22"/>
          <w:lang w:eastAsia="en-GB"/>
        </w:rPr>
        <w:t xml:space="preserve"> with the full application</w:t>
      </w:r>
      <w:r w:rsidR="00E16F20" w:rsidRPr="00BA6979">
        <w:rPr>
          <w:b/>
          <w:szCs w:val="22"/>
          <w:lang w:eastAsia="en-GB"/>
        </w:rPr>
        <w:t xml:space="preserve"> </w:t>
      </w:r>
      <w:r w:rsidR="007941FB" w:rsidRPr="00BA6979">
        <w:rPr>
          <w:b/>
          <w:szCs w:val="22"/>
          <w:lang w:eastAsia="en-GB"/>
        </w:rPr>
        <w:t xml:space="preserve">the </w:t>
      </w:r>
      <w:r w:rsidR="00E16F20" w:rsidRPr="00BA6979">
        <w:rPr>
          <w:b/>
          <w:szCs w:val="22"/>
          <w:lang w:eastAsia="en-GB"/>
        </w:rPr>
        <w:t xml:space="preserve">completed </w:t>
      </w:r>
      <w:r w:rsidR="007941FB" w:rsidRPr="00BA6979">
        <w:rPr>
          <w:b/>
          <w:szCs w:val="22"/>
          <w:lang w:eastAsia="en-GB"/>
        </w:rPr>
        <w:t>PADOR</w:t>
      </w:r>
      <w:r w:rsidR="00967B34">
        <w:rPr>
          <w:b/>
          <w:szCs w:val="22"/>
          <w:lang w:eastAsia="en-GB"/>
        </w:rPr>
        <w:t xml:space="preserve"> </w:t>
      </w:r>
      <w:r w:rsidR="00AA0B45" w:rsidRPr="00BA6979">
        <w:rPr>
          <w:b/>
          <w:szCs w:val="22"/>
          <w:lang w:eastAsia="en-GB"/>
        </w:rPr>
        <w:t>f</w:t>
      </w:r>
      <w:r w:rsidR="000176DE" w:rsidRPr="00BA6979">
        <w:rPr>
          <w:b/>
          <w:szCs w:val="22"/>
          <w:lang w:eastAsia="en-GB"/>
        </w:rPr>
        <w:t>orm</w:t>
      </w:r>
      <w:r w:rsidR="00E16F20" w:rsidRPr="00BA6979">
        <w:rPr>
          <w:b/>
          <w:szCs w:val="22"/>
          <w:lang w:eastAsia="en-GB"/>
        </w:rPr>
        <w:t xml:space="preserve"> (Annex F) for the lead applicant, each (if any) co-applicants and each (if any) affiliated entities</w:t>
      </w:r>
      <w:bookmarkStart w:id="63" w:name="_Hlk163809025"/>
      <w:r w:rsidR="00554F55" w:rsidRPr="000275A9">
        <w:rPr>
          <w:rStyle w:val="Funotenzeichen"/>
          <w:b/>
          <w:szCs w:val="22"/>
          <w:lang w:eastAsia="en-GB"/>
        </w:rPr>
        <w:footnoteReference w:id="18"/>
      </w:r>
      <w:bookmarkEnd w:id="63"/>
      <w:r w:rsidR="000D46D7" w:rsidRPr="00BA6979">
        <w:rPr>
          <w:b/>
          <w:szCs w:val="22"/>
          <w:lang w:eastAsia="en-GB"/>
        </w:rPr>
        <w:t>.</w:t>
      </w:r>
      <w:r w:rsidRPr="008B69D1">
        <w:rPr>
          <w:color w:val="000000"/>
        </w:rPr>
        <w:t xml:space="preserve"> </w:t>
      </w:r>
    </w:p>
    <w:p w14:paraId="42A5685C" w14:textId="77777777" w:rsidR="00465AA9" w:rsidRDefault="00D117D2" w:rsidP="00F36C74">
      <w:pPr>
        <w:spacing w:after="120" w:line="240" w:lineRule="atLeast"/>
        <w:rPr>
          <w:szCs w:val="22"/>
          <w:lang w:eastAsia="en-GB"/>
        </w:rPr>
      </w:pPr>
      <w:r>
        <w:rPr>
          <w:color w:val="000000"/>
        </w:rPr>
        <w:t>In addition,</w:t>
      </w:r>
      <w:r w:rsidR="00465AA9">
        <w:rPr>
          <w:color w:val="000000"/>
        </w:rPr>
        <w:t xml:space="preserve"> the following documents</w:t>
      </w:r>
      <w:r w:rsidR="009C64DC">
        <w:rPr>
          <w:rStyle w:val="Funotenzeichen"/>
          <w:color w:val="000000"/>
        </w:rPr>
        <w:footnoteReference w:id="19"/>
      </w:r>
      <w:r w:rsidR="00465AA9">
        <w:rPr>
          <w:color w:val="000000"/>
        </w:rPr>
        <w:t xml:space="preserve"> shall </w:t>
      </w:r>
      <w:proofErr w:type="gramStart"/>
      <w:r w:rsidR="00465AA9">
        <w:rPr>
          <w:color w:val="000000"/>
        </w:rPr>
        <w:t xml:space="preserve">be </w:t>
      </w:r>
      <w:r w:rsidR="00C16F5B">
        <w:rPr>
          <w:szCs w:val="22"/>
          <w:lang w:eastAsia="en-GB"/>
        </w:rPr>
        <w:t xml:space="preserve"> </w:t>
      </w:r>
      <w:r w:rsidR="00C16F5B" w:rsidRPr="00C16F5B">
        <w:rPr>
          <w:color w:val="000000"/>
        </w:rPr>
        <w:t>submitted</w:t>
      </w:r>
      <w:proofErr w:type="gramEnd"/>
      <w:r w:rsidR="00C16F5B">
        <w:rPr>
          <w:color w:val="000000"/>
        </w:rPr>
        <w:t xml:space="preserve"> </w:t>
      </w:r>
      <w:r w:rsidR="00465AA9" w:rsidRPr="00C16F5B">
        <w:rPr>
          <w:szCs w:val="22"/>
          <w:lang w:eastAsia="en-GB"/>
        </w:rPr>
        <w:t xml:space="preserve">by the full application deadline </w:t>
      </w:r>
      <w:r w:rsidR="00C16F5B">
        <w:rPr>
          <w:szCs w:val="22"/>
          <w:lang w:eastAsia="en-GB"/>
        </w:rPr>
        <w:t xml:space="preserve">together </w:t>
      </w:r>
      <w:r w:rsidR="00465AA9">
        <w:rPr>
          <w:szCs w:val="22"/>
          <w:lang w:eastAsia="en-GB"/>
        </w:rPr>
        <w:t>with</w:t>
      </w:r>
      <w:r w:rsidR="00465AA9" w:rsidRPr="009F3B53">
        <w:rPr>
          <w:szCs w:val="22"/>
          <w:lang w:eastAsia="en-GB"/>
        </w:rPr>
        <w:t xml:space="preserve"> the </w:t>
      </w:r>
      <w:r w:rsidR="00465AA9">
        <w:rPr>
          <w:szCs w:val="22"/>
          <w:lang w:eastAsia="en-GB"/>
        </w:rPr>
        <w:t>full</w:t>
      </w:r>
      <w:r w:rsidR="00465AA9" w:rsidRPr="009F3B53">
        <w:rPr>
          <w:szCs w:val="22"/>
          <w:lang w:eastAsia="en-GB"/>
        </w:rPr>
        <w:t xml:space="preserve"> application form</w:t>
      </w:r>
      <w:r w:rsidR="00465AA9">
        <w:rPr>
          <w:szCs w:val="22"/>
          <w:lang w:eastAsia="en-GB"/>
        </w:rPr>
        <w:t>:</w:t>
      </w:r>
    </w:p>
    <w:p w14:paraId="5EA17227" w14:textId="77777777" w:rsidR="00465AA9" w:rsidRDefault="00465AA9" w:rsidP="00EA610C">
      <w:pPr>
        <w:numPr>
          <w:ilvl w:val="0"/>
          <w:numId w:val="25"/>
        </w:numPr>
        <w:spacing w:after="120" w:line="240" w:lineRule="atLeast"/>
        <w:ind w:left="567"/>
      </w:pPr>
      <w:r w:rsidRPr="00FD1A79">
        <w:t xml:space="preserve">The statutes or articles of association of the lead applicant, (if any) of each co-applicant and (if any) of each affiliated entity. Where the </w:t>
      </w:r>
      <w:bookmarkStart w:id="64" w:name="_Hlk163750703"/>
      <w:r w:rsidRPr="00FD1A79">
        <w:t>contracting authority has recognised the lead applicant’s, or the co-applicant(s)’s, or their affiliated entity(</w:t>
      </w:r>
      <w:proofErr w:type="spellStart"/>
      <w:r w:rsidRPr="00FD1A79">
        <w:t>ies</w:t>
      </w:r>
      <w:proofErr w:type="spellEnd"/>
      <w:r w:rsidRPr="00FD1A79">
        <w:t xml:space="preserve">)’s eligibility for another call for proposals under the same budget line within 2 years before the deadline for receipt of applications, it </w:t>
      </w:r>
      <w:r w:rsidR="001F08AD">
        <w:t>shall submit</w:t>
      </w:r>
      <w:r w:rsidRPr="00FD1A79">
        <w:t xml:space="preserve"> instead a copy of the document proving their eligibility in a former call (e.g. a copy of the special conditions of a grant contract received during the reference period), unless a change in legal status has occurred </w:t>
      </w:r>
      <w:r>
        <w:t>in the meantime</w:t>
      </w:r>
      <w:r w:rsidR="000A486E">
        <w:t xml:space="preserve">. </w:t>
      </w:r>
      <w:bookmarkEnd w:id="64"/>
      <w:r w:rsidRPr="00FD1A79">
        <w:t xml:space="preserve">This obligation does not apply to international organisations which have </w:t>
      </w:r>
      <w:r w:rsidR="001F08AD">
        <w:t>been subject of a pillar assessment</w:t>
      </w:r>
      <w:r>
        <w:t>.</w:t>
      </w:r>
    </w:p>
    <w:p w14:paraId="72A52F1C" w14:textId="77777777" w:rsidR="00276C28" w:rsidRPr="001B7D50" w:rsidRDefault="00276C28" w:rsidP="00EA610C">
      <w:pPr>
        <w:numPr>
          <w:ilvl w:val="0"/>
          <w:numId w:val="25"/>
        </w:numPr>
        <w:spacing w:after="120" w:line="240" w:lineRule="atLeast"/>
        <w:ind w:left="567"/>
        <w:rPr>
          <w:szCs w:val="22"/>
          <w:lang w:val="en-IE" w:eastAsia="fr-BE"/>
        </w:rPr>
      </w:pPr>
      <w:bookmarkStart w:id="65" w:name="_Hlk164256464"/>
      <w:r>
        <w:t>The</w:t>
      </w:r>
      <w:r w:rsidRPr="0063082A">
        <w:t xml:space="preserve"> declaration on honour </w:t>
      </w:r>
      <w:bookmarkStart w:id="66" w:name="_Hlk164254499"/>
      <w:r>
        <w:t xml:space="preserve">(Annex H to these guidelines) </w:t>
      </w:r>
      <w:bookmarkEnd w:id="66"/>
      <w:r>
        <w:t xml:space="preserve">signed by the lead applicant as well as all co-applicants and affiliated entities </w:t>
      </w:r>
      <w:r w:rsidRPr="0063082A">
        <w:t>certifying that they are not in one of the exclusion situations (see Section 2.4.2 of the practical guide) where the amount of the grant exceeds EUR 15 000</w:t>
      </w:r>
      <w:r>
        <w:t>.</w:t>
      </w:r>
      <w:bookmarkEnd w:id="65"/>
    </w:p>
    <w:p w14:paraId="460D496C" w14:textId="77777777" w:rsidR="0045224D" w:rsidRPr="00BA6979" w:rsidRDefault="0045224D" w:rsidP="00EA610C">
      <w:pPr>
        <w:numPr>
          <w:ilvl w:val="0"/>
          <w:numId w:val="25"/>
        </w:numPr>
        <w:spacing w:after="120" w:line="240" w:lineRule="atLeast"/>
        <w:ind w:left="567"/>
        <w:rPr>
          <w:szCs w:val="22"/>
          <w:lang w:val="en-IE" w:eastAsia="en-GB"/>
        </w:rPr>
      </w:pPr>
      <w:r w:rsidRPr="006C2335">
        <w:rPr>
          <w:szCs w:val="22"/>
          <w:lang w:val="en-IE" w:eastAsia="en-GB"/>
        </w:rPr>
        <w:t>In addition, for the purpose of the evaluation of the financial capacity, the following documents should be submitted</w:t>
      </w:r>
      <w:r>
        <w:rPr>
          <w:rStyle w:val="Funotenzeichen"/>
          <w:color w:val="000000"/>
        </w:rPr>
        <w:footnoteReference w:id="20"/>
      </w:r>
      <w:r w:rsidRPr="006C2335">
        <w:rPr>
          <w:szCs w:val="22"/>
          <w:lang w:val="en-IE" w:eastAsia="en-GB"/>
        </w:rPr>
        <w:t xml:space="preserve">:  </w:t>
      </w:r>
    </w:p>
    <w:p w14:paraId="06C67EA4" w14:textId="77777777" w:rsidR="0045224D" w:rsidRDefault="0045224D" w:rsidP="00EA610C">
      <w:pPr>
        <w:numPr>
          <w:ilvl w:val="0"/>
          <w:numId w:val="29"/>
        </w:numPr>
        <w:spacing w:after="120" w:line="240" w:lineRule="atLeast"/>
        <w:ind w:left="1134"/>
        <w:rPr>
          <w:lang w:eastAsia="en-GB"/>
        </w:rPr>
      </w:pPr>
      <w:r w:rsidRPr="008B029E">
        <w:rPr>
          <w:lang w:eastAsia="en-GB"/>
        </w:rPr>
        <w:t xml:space="preserve">For action grants exceeding EUR 750 000 and for operating grants </w:t>
      </w:r>
      <w:r>
        <w:rPr>
          <w:lang w:eastAsia="en-GB"/>
        </w:rPr>
        <w:t>exceeding</w:t>
      </w:r>
      <w:r w:rsidRPr="008B029E">
        <w:rPr>
          <w:lang w:eastAsia="en-GB"/>
        </w:rPr>
        <w:t xml:space="preserve"> EUR 100 000, the lead applicant must provide an audit report produced by an approved external auditor where it is available, and always in cases where a statutory audit is required by EU or national law. That report shall certify the accounts</w:t>
      </w:r>
      <w:r>
        <w:rPr>
          <w:lang w:eastAsia="en-GB"/>
        </w:rPr>
        <w:t xml:space="preserve"> of the lead applicant</w:t>
      </w:r>
      <w:r w:rsidRPr="008B029E">
        <w:rPr>
          <w:lang w:eastAsia="en-GB"/>
        </w:rPr>
        <w:t xml:space="preserve"> for up to the last 3 available financial years. </w:t>
      </w:r>
    </w:p>
    <w:p w14:paraId="07F51B38" w14:textId="77777777" w:rsidR="0045224D" w:rsidRPr="008B029E" w:rsidRDefault="0045224D" w:rsidP="001417D6">
      <w:pPr>
        <w:spacing w:after="120" w:line="240" w:lineRule="atLeast"/>
        <w:ind w:left="1134"/>
        <w:rPr>
          <w:lang w:eastAsia="en-GB"/>
        </w:rPr>
      </w:pPr>
      <w:r w:rsidRPr="008B029E">
        <w:rPr>
          <w:lang w:eastAsia="en-GB"/>
        </w:rPr>
        <w:t xml:space="preserve">In all other cases, the </w:t>
      </w:r>
      <w:r>
        <w:rPr>
          <w:lang w:eastAsia="en-GB"/>
        </w:rPr>
        <w:t xml:space="preserve">lead </w:t>
      </w:r>
      <w:r w:rsidRPr="008B029E">
        <w:rPr>
          <w:lang w:eastAsia="en-GB"/>
        </w:rPr>
        <w:t xml:space="preserve">applicant shall provide a self-declaration signed by its authorised representative certifying the validity of its accounts for up to the last 3 available financial years. </w:t>
      </w:r>
    </w:p>
    <w:p w14:paraId="6121EB50" w14:textId="77777777" w:rsidR="0045224D" w:rsidRPr="008B029E" w:rsidRDefault="0045224D" w:rsidP="001417D6">
      <w:pPr>
        <w:spacing w:after="120" w:line="240" w:lineRule="atLeast"/>
        <w:ind w:left="1134"/>
        <w:rPr>
          <w:lang w:eastAsia="en-GB"/>
        </w:rPr>
      </w:pPr>
      <w:r w:rsidRPr="008B029E">
        <w:rPr>
          <w:lang w:eastAsia="en-GB"/>
        </w:rPr>
        <w:t xml:space="preserve">This requirement shall apply only to the first application made by an applicant to </w:t>
      </w:r>
      <w:r>
        <w:rPr>
          <w:lang w:eastAsia="en-GB"/>
        </w:rPr>
        <w:t xml:space="preserve">the contracting authority </w:t>
      </w:r>
      <w:r w:rsidRPr="008B029E">
        <w:rPr>
          <w:lang w:eastAsia="en-GB"/>
        </w:rPr>
        <w:t>in any one financial year.</w:t>
      </w:r>
    </w:p>
    <w:p w14:paraId="6D4D5033" w14:textId="77777777" w:rsidR="0045224D" w:rsidRPr="008B029E" w:rsidRDefault="0045224D" w:rsidP="001417D6">
      <w:pPr>
        <w:spacing w:after="120" w:line="240" w:lineRule="atLeast"/>
        <w:ind w:left="1134"/>
        <w:rPr>
          <w:lang w:eastAsia="en-GB"/>
        </w:rPr>
      </w:pPr>
      <w:r w:rsidRPr="008B029E">
        <w:rPr>
          <w:lang w:eastAsia="en-GB"/>
        </w:rPr>
        <w:t>The external audit report</w:t>
      </w:r>
      <w:r>
        <w:rPr>
          <w:lang w:eastAsia="en-GB"/>
        </w:rPr>
        <w:t xml:space="preserve"> as well as the self-declaration certifying the validity of the accounts</w:t>
      </w:r>
      <w:r w:rsidRPr="008B029E">
        <w:rPr>
          <w:lang w:eastAsia="en-GB"/>
        </w:rPr>
        <w:t xml:space="preserve"> </w:t>
      </w:r>
      <w:r>
        <w:rPr>
          <w:lang w:eastAsia="en-GB"/>
        </w:rPr>
        <w:t>are</w:t>
      </w:r>
      <w:r w:rsidRPr="008B029E">
        <w:rPr>
          <w:lang w:eastAsia="en-GB"/>
        </w:rPr>
        <w:t xml:space="preserve"> not required from the co-applicant(s) or affiliated entities</w:t>
      </w:r>
      <w:r>
        <w:rPr>
          <w:lang w:eastAsia="en-GB"/>
        </w:rPr>
        <w:t xml:space="preserve"> </w:t>
      </w:r>
      <w:r w:rsidRPr="00A37048">
        <w:rPr>
          <w:lang w:eastAsia="en-GB"/>
        </w:rPr>
        <w:t>(if any)</w:t>
      </w:r>
      <w:r w:rsidRPr="008B029E">
        <w:rPr>
          <w:lang w:eastAsia="en-GB"/>
        </w:rPr>
        <w:t>.</w:t>
      </w:r>
    </w:p>
    <w:p w14:paraId="4A0AA332" w14:textId="77777777" w:rsidR="0045224D" w:rsidRDefault="0045224D" w:rsidP="00EA610C">
      <w:pPr>
        <w:numPr>
          <w:ilvl w:val="0"/>
          <w:numId w:val="29"/>
        </w:numPr>
        <w:spacing w:after="240" w:line="240" w:lineRule="atLeast"/>
        <w:ind w:left="1134" w:hanging="357"/>
        <w:rPr>
          <w:lang w:eastAsia="en-GB"/>
        </w:rPr>
      </w:pPr>
      <w:r w:rsidRPr="008B029E">
        <w:t>A copy of the lead applicant</w:t>
      </w:r>
      <w:r w:rsidRPr="00846024">
        <w:t>’</w:t>
      </w:r>
      <w:r w:rsidRPr="008B029E">
        <w:t xml:space="preserve">s latest accounts (the profit and loss account and the balance sheet for the last financial year for which the accounts have been closed). A copy of the latest account is neither required from the co-applicant(s) </w:t>
      </w:r>
      <w:r w:rsidRPr="00422EEF">
        <w:t xml:space="preserve">(if any) </w:t>
      </w:r>
      <w:r w:rsidRPr="008B029E">
        <w:t>nor from affiliated entity(</w:t>
      </w:r>
      <w:proofErr w:type="spellStart"/>
      <w:r w:rsidRPr="008B029E">
        <w:t>ies</w:t>
      </w:r>
      <w:proofErr w:type="spellEnd"/>
      <w:r w:rsidRPr="008B029E">
        <w:t>)</w:t>
      </w:r>
      <w:r w:rsidRPr="006E5C2D">
        <w:t xml:space="preserve"> </w:t>
      </w:r>
      <w:r w:rsidRPr="00CD6B5C">
        <w:t>(if any)</w:t>
      </w:r>
      <w:r>
        <w:t>.</w:t>
      </w:r>
    </w:p>
    <w:p w14:paraId="152399F2" w14:textId="77777777" w:rsidR="00465AA9" w:rsidRPr="001B53C9" w:rsidRDefault="001D5CF0" w:rsidP="00F36C74">
      <w:pPr>
        <w:spacing w:after="120" w:line="240" w:lineRule="atLeast"/>
        <w:rPr>
          <w:bCs/>
          <w:color w:val="000000"/>
          <w:lang w:eastAsia="en-GB"/>
        </w:rPr>
      </w:pPr>
      <w:r>
        <w:rPr>
          <w:bCs/>
          <w:color w:val="000000"/>
          <w:lang w:eastAsia="en-GB"/>
        </w:rPr>
        <w:lastRenderedPageBreak/>
        <w:t>These documents</w:t>
      </w:r>
      <w:r w:rsidR="00465AA9" w:rsidRPr="001B53C9">
        <w:rPr>
          <w:bCs/>
          <w:color w:val="000000"/>
          <w:lang w:eastAsia="en-GB"/>
        </w:rPr>
        <w:t xml:space="preserve"> must be supplied in the form of originals</w:t>
      </w:r>
      <w:r w:rsidR="00BC6D74">
        <w:rPr>
          <w:bCs/>
          <w:color w:val="000000"/>
          <w:lang w:eastAsia="en-GB"/>
        </w:rPr>
        <w:t xml:space="preserve"> </w:t>
      </w:r>
      <w:bookmarkStart w:id="67" w:name="_Hlk164256515"/>
      <w:r w:rsidR="00BC6D74">
        <w:rPr>
          <w:bCs/>
          <w:color w:val="000000"/>
          <w:lang w:eastAsia="en-GB"/>
        </w:rPr>
        <w:t xml:space="preserve">(blue ink </w:t>
      </w:r>
      <w:r w:rsidR="00D239EF">
        <w:rPr>
          <w:bCs/>
          <w:color w:val="000000"/>
          <w:lang w:eastAsia="en-GB"/>
        </w:rPr>
        <w:t xml:space="preserve">signature </w:t>
      </w:r>
      <w:r w:rsidR="00BC6D74">
        <w:rPr>
          <w:bCs/>
          <w:color w:val="000000"/>
          <w:lang w:eastAsia="en-GB"/>
        </w:rPr>
        <w:t xml:space="preserve">or </w:t>
      </w:r>
      <w:r w:rsidR="00BC6D74" w:rsidRPr="00BC6D74">
        <w:rPr>
          <w:lang w:eastAsia="en-GB"/>
        </w:rPr>
        <w:t>by applying a qualified electronic signature (QES)</w:t>
      </w:r>
      <w:r w:rsidR="00BC6D74" w:rsidRPr="00BC6D74">
        <w:rPr>
          <w:sz w:val="24"/>
          <w:vertAlign w:val="superscript"/>
          <w:lang w:eastAsia="en-GB"/>
        </w:rPr>
        <w:footnoteReference w:id="21"/>
      </w:r>
      <w:r w:rsidR="00BC6D74">
        <w:rPr>
          <w:lang w:eastAsia="en-GB"/>
        </w:rPr>
        <w:t>)</w:t>
      </w:r>
      <w:bookmarkEnd w:id="67"/>
      <w:r w:rsidR="00465AA9" w:rsidRPr="001B53C9">
        <w:rPr>
          <w:bCs/>
          <w:color w:val="000000"/>
          <w:lang w:eastAsia="en-GB"/>
        </w:rPr>
        <w:t>, photocopies or scanned versions (</w:t>
      </w:r>
      <w:proofErr w:type="gramStart"/>
      <w:r w:rsidR="00465AA9" w:rsidRPr="001B53C9">
        <w:rPr>
          <w:bCs/>
          <w:color w:val="000000"/>
          <w:lang w:eastAsia="en-GB"/>
        </w:rPr>
        <w:t>i.e.</w:t>
      </w:r>
      <w:proofErr w:type="gramEnd"/>
      <w:r w:rsidR="00465AA9" w:rsidRPr="001B53C9">
        <w:rPr>
          <w:bCs/>
          <w:color w:val="000000"/>
          <w:lang w:eastAsia="en-GB"/>
        </w:rPr>
        <w:t xml:space="preserve"> showing legible stamps, signatures and dates) of the said originals.</w:t>
      </w:r>
      <w:r w:rsidR="00CD1512">
        <w:rPr>
          <w:bCs/>
          <w:color w:val="000000"/>
          <w:lang w:eastAsia="en-GB"/>
        </w:rPr>
        <w:t xml:space="preserve"> </w:t>
      </w:r>
      <w:bookmarkStart w:id="68" w:name="_Hlk164256198"/>
      <w:r w:rsidR="00D239EF">
        <w:rPr>
          <w:bCs/>
          <w:color w:val="000000"/>
          <w:lang w:eastAsia="en-GB"/>
        </w:rPr>
        <w:t>Where photocopies or scanned copies are provided, o</w:t>
      </w:r>
      <w:r w:rsidR="00CD1512" w:rsidRPr="00CD1512">
        <w:rPr>
          <w:bCs/>
          <w:color w:val="000000"/>
          <w:lang w:eastAsia="en-GB"/>
        </w:rPr>
        <w:t>riginals</w:t>
      </w:r>
      <w:bookmarkStart w:id="69" w:name="_Hlk164256542"/>
      <w:r w:rsidR="00CD1512" w:rsidRPr="00CD1512">
        <w:rPr>
          <w:bCs/>
          <w:color w:val="000000"/>
          <w:lang w:eastAsia="en-GB"/>
        </w:rPr>
        <w:t xml:space="preserve"> </w:t>
      </w:r>
      <w:r w:rsidR="00BC6D74" w:rsidRPr="00CD1512">
        <w:rPr>
          <w:bCs/>
          <w:color w:val="000000"/>
          <w:lang w:eastAsia="en-GB"/>
        </w:rPr>
        <w:t>s</w:t>
      </w:r>
      <w:r w:rsidR="00BC6D74">
        <w:rPr>
          <w:bCs/>
          <w:color w:val="000000"/>
          <w:lang w:eastAsia="en-GB"/>
        </w:rPr>
        <w:t>hall</w:t>
      </w:r>
      <w:r w:rsidR="00BC6D74" w:rsidRPr="00CD1512">
        <w:rPr>
          <w:bCs/>
          <w:color w:val="000000"/>
          <w:lang w:eastAsia="en-GB"/>
        </w:rPr>
        <w:t xml:space="preserve"> </w:t>
      </w:r>
      <w:bookmarkEnd w:id="69"/>
      <w:r w:rsidR="00CD1512" w:rsidRPr="00CD1512">
        <w:rPr>
          <w:bCs/>
          <w:color w:val="000000"/>
          <w:lang w:eastAsia="en-GB"/>
        </w:rPr>
        <w:t>be kept on file for controls</w:t>
      </w:r>
      <w:r w:rsidR="00C16F5B">
        <w:rPr>
          <w:bCs/>
          <w:color w:val="000000"/>
          <w:lang w:eastAsia="en-GB"/>
        </w:rPr>
        <w:t xml:space="preserve"> </w:t>
      </w:r>
      <w:bookmarkStart w:id="70" w:name="_Hlk164256561"/>
      <w:r w:rsidR="00BC6D74" w:rsidRPr="00BC6D74">
        <w:rPr>
          <w:lang w:eastAsia="en-GB"/>
        </w:rPr>
        <w:t>in accordance with the record keeping obligations laid down in Section 2.5.5. of the practical guide.</w:t>
      </w:r>
      <w:bookmarkEnd w:id="68"/>
      <w:bookmarkEnd w:id="70"/>
    </w:p>
    <w:p w14:paraId="11D59828" w14:textId="77777777" w:rsidR="00465AA9" w:rsidRPr="001B53C9" w:rsidRDefault="00465AA9" w:rsidP="00F36C74">
      <w:pPr>
        <w:spacing w:after="120" w:line="240" w:lineRule="atLeast"/>
        <w:rPr>
          <w:bCs/>
          <w:color w:val="000000"/>
          <w:lang w:eastAsia="en-GB"/>
        </w:rPr>
      </w:pPr>
      <w:r w:rsidRPr="001B53C9">
        <w:rPr>
          <w:bCs/>
          <w:color w:val="000000"/>
          <w:lang w:eastAsia="en-GB"/>
        </w:rPr>
        <w:t>Where such documents are not in one of the official l</w:t>
      </w:r>
      <w:r w:rsidR="00F67A6B">
        <w:rPr>
          <w:bCs/>
          <w:color w:val="000000"/>
          <w:lang w:eastAsia="en-GB"/>
        </w:rPr>
        <w:t xml:space="preserve">anguages of the European Union </w:t>
      </w:r>
      <w:r w:rsidRPr="002E37EA">
        <w:rPr>
          <w:bCs/>
          <w:color w:val="000000"/>
          <w:lang w:eastAsia="en-GB"/>
        </w:rPr>
        <w:t xml:space="preserve">or in the language of the country </w:t>
      </w:r>
      <w:r w:rsidR="00F67A6B">
        <w:rPr>
          <w:bCs/>
          <w:color w:val="000000"/>
          <w:lang w:eastAsia="en-GB"/>
        </w:rPr>
        <w:t>where the action is implemented</w:t>
      </w:r>
      <w:r w:rsidRPr="001B53C9">
        <w:rPr>
          <w:bCs/>
          <w:color w:val="000000"/>
          <w:lang w:eastAsia="en-GB"/>
        </w:rPr>
        <w:t xml:space="preserve">, a translation into </w:t>
      </w:r>
      <w:r w:rsidR="00F67A6B">
        <w:rPr>
          <w:bCs/>
          <w:color w:val="000000"/>
          <w:lang w:eastAsia="en-GB"/>
        </w:rPr>
        <w:t>English</w:t>
      </w:r>
      <w:r w:rsidRPr="001B53C9">
        <w:rPr>
          <w:bCs/>
          <w:color w:val="000000"/>
          <w:lang w:eastAsia="en-GB"/>
        </w:rPr>
        <w:t xml:space="preserve"> of the relevant parts of these documents proving the lead applicant's and, where applicable, co-applicants' and affiliated entity(</w:t>
      </w:r>
      <w:proofErr w:type="spellStart"/>
      <w:r w:rsidRPr="001B53C9">
        <w:rPr>
          <w:bCs/>
          <w:color w:val="000000"/>
          <w:lang w:eastAsia="en-GB"/>
        </w:rPr>
        <w:t>ies</w:t>
      </w:r>
      <w:proofErr w:type="spellEnd"/>
      <w:r w:rsidRPr="001B53C9">
        <w:rPr>
          <w:bCs/>
          <w:color w:val="000000"/>
          <w:lang w:eastAsia="en-GB"/>
        </w:rPr>
        <w:t xml:space="preserve">)' eligibility, must be </w:t>
      </w:r>
      <w:r w:rsidR="001D5CF0">
        <w:rPr>
          <w:bCs/>
          <w:color w:val="000000"/>
          <w:lang w:eastAsia="en-GB"/>
        </w:rPr>
        <w:t>submitted</w:t>
      </w:r>
      <w:r w:rsidR="001D5CF0" w:rsidRPr="001B53C9">
        <w:rPr>
          <w:bCs/>
          <w:color w:val="000000"/>
          <w:lang w:eastAsia="en-GB"/>
        </w:rPr>
        <w:t xml:space="preserve"> </w:t>
      </w:r>
      <w:r w:rsidRPr="001B53C9">
        <w:rPr>
          <w:bCs/>
          <w:color w:val="000000"/>
          <w:lang w:eastAsia="en-GB"/>
        </w:rPr>
        <w:t>for the purpose of analysing the application.</w:t>
      </w:r>
    </w:p>
    <w:p w14:paraId="4A3AF5B2" w14:textId="77777777" w:rsidR="00465AA9" w:rsidRPr="001B53C9" w:rsidRDefault="00465AA9" w:rsidP="00F36C74">
      <w:pPr>
        <w:spacing w:after="120" w:line="240" w:lineRule="atLeast"/>
        <w:rPr>
          <w:bCs/>
          <w:color w:val="000000"/>
          <w:lang w:eastAsia="en-GB"/>
        </w:rPr>
      </w:pPr>
      <w:bookmarkStart w:id="71" w:name="_Hlk163752012"/>
      <w:r w:rsidRPr="001B53C9">
        <w:rPr>
          <w:bCs/>
          <w:color w:val="000000"/>
          <w:lang w:eastAsia="en-GB"/>
        </w:rPr>
        <w:t xml:space="preserve">Where these documents are in an official language of the European Union other than </w:t>
      </w:r>
      <w:r w:rsidR="00212E0B">
        <w:rPr>
          <w:bCs/>
          <w:color w:val="000000"/>
          <w:lang w:eastAsia="en-GB"/>
        </w:rPr>
        <w:t>English</w:t>
      </w:r>
      <w:r w:rsidRPr="001B53C9">
        <w:rPr>
          <w:bCs/>
          <w:color w:val="000000"/>
          <w:lang w:eastAsia="en-GB"/>
        </w:rPr>
        <w:t>, it is strongly recommended, in order to facilitate the evaluation, to provide a translation of the relevant parts of the documents, proving the lead applicant's and, where applicable, co-applicants' and affiliated entity(</w:t>
      </w:r>
      <w:proofErr w:type="spellStart"/>
      <w:r w:rsidRPr="001B53C9">
        <w:rPr>
          <w:bCs/>
          <w:color w:val="000000"/>
          <w:lang w:eastAsia="en-GB"/>
        </w:rPr>
        <w:t>ies</w:t>
      </w:r>
      <w:proofErr w:type="spellEnd"/>
      <w:r w:rsidRPr="001B53C9">
        <w:rPr>
          <w:bCs/>
          <w:color w:val="000000"/>
          <w:lang w:eastAsia="en-GB"/>
        </w:rPr>
        <w:t xml:space="preserve">)' eligibility, into </w:t>
      </w:r>
      <w:r w:rsidR="00212E0B">
        <w:rPr>
          <w:bCs/>
          <w:color w:val="000000"/>
          <w:lang w:eastAsia="en-GB"/>
        </w:rPr>
        <w:t>English</w:t>
      </w:r>
      <w:r w:rsidRPr="001B53C9">
        <w:rPr>
          <w:bCs/>
          <w:color w:val="000000"/>
          <w:lang w:eastAsia="en-GB"/>
        </w:rPr>
        <w:t>.</w:t>
      </w:r>
    </w:p>
    <w:bookmarkEnd w:id="71"/>
    <w:p w14:paraId="52F08C39" w14:textId="77777777" w:rsidR="00465AA9" w:rsidRDefault="00465AA9" w:rsidP="00F36C74">
      <w:pPr>
        <w:spacing w:after="120" w:line="240" w:lineRule="atLeast"/>
        <w:rPr>
          <w:bCs/>
          <w:color w:val="000000"/>
          <w:lang w:eastAsia="en-GB"/>
        </w:rPr>
      </w:pPr>
      <w:r w:rsidRPr="001B53C9">
        <w:rPr>
          <w:bCs/>
          <w:color w:val="000000"/>
          <w:lang w:eastAsia="en-GB"/>
        </w:rPr>
        <w:t>Applicants have to take into consideration the time necessary to obtain official documents from national competent authorities and to translate such documents in the authorised languages while registering their data in PADOR.</w:t>
      </w:r>
      <w:r w:rsidRPr="009F3B53">
        <w:rPr>
          <w:bCs/>
          <w:color w:val="000000"/>
          <w:lang w:eastAsia="en-GB"/>
        </w:rPr>
        <w:t xml:space="preserve"> </w:t>
      </w:r>
    </w:p>
    <w:p w14:paraId="71404963" w14:textId="77777777" w:rsidR="00E16F20" w:rsidRPr="00BA6979" w:rsidRDefault="00465AA9" w:rsidP="00F36C74">
      <w:pPr>
        <w:spacing w:after="120" w:line="240" w:lineRule="atLeast"/>
        <w:rPr>
          <w:b/>
          <w:szCs w:val="22"/>
          <w:lang w:eastAsia="en-GB"/>
        </w:rPr>
      </w:pPr>
      <w:r w:rsidRPr="00807DAF">
        <w:rPr>
          <w:szCs w:val="22"/>
        </w:rPr>
        <w:t>If the abovementioned supporting d</w:t>
      </w:r>
      <w:r w:rsidR="004A75FE">
        <w:rPr>
          <w:szCs w:val="22"/>
        </w:rPr>
        <w:t>ocuments are not provided by</w:t>
      </w:r>
      <w:r w:rsidRPr="00807DAF">
        <w:rPr>
          <w:szCs w:val="22"/>
        </w:rPr>
        <w:t xml:space="preserve"> the deadline</w:t>
      </w:r>
      <w:r w:rsidR="004A75FE">
        <w:rPr>
          <w:szCs w:val="22"/>
        </w:rPr>
        <w:t xml:space="preserve"> for the submission of the full application, </w:t>
      </w:r>
      <w:r w:rsidRPr="00807DAF">
        <w:rPr>
          <w:szCs w:val="22"/>
        </w:rPr>
        <w:t>the application may be rejected</w:t>
      </w:r>
      <w:r>
        <w:rPr>
          <w:szCs w:val="22"/>
        </w:rPr>
        <w:t>.</w:t>
      </w:r>
    </w:p>
    <w:p w14:paraId="4A4C3D45" w14:textId="77777777" w:rsidR="003956DF" w:rsidRPr="00BA6979" w:rsidRDefault="003956DF" w:rsidP="00F36C74">
      <w:pPr>
        <w:spacing w:after="120" w:line="240" w:lineRule="atLeast"/>
        <w:rPr>
          <w:szCs w:val="22"/>
          <w:lang w:eastAsia="en-GB"/>
        </w:rPr>
      </w:pPr>
      <w:r w:rsidRPr="00BA6979">
        <w:rPr>
          <w:szCs w:val="22"/>
          <w:lang w:eastAsia="en-GB"/>
        </w:rPr>
        <w:t xml:space="preserve">No </w:t>
      </w:r>
      <w:r w:rsidR="007C4578" w:rsidRPr="00BA6979">
        <w:rPr>
          <w:szCs w:val="22"/>
          <w:lang w:eastAsia="en-GB"/>
        </w:rPr>
        <w:t xml:space="preserve">additional </w:t>
      </w:r>
      <w:r w:rsidRPr="00BA6979">
        <w:rPr>
          <w:szCs w:val="22"/>
          <w:lang w:eastAsia="en-GB"/>
        </w:rPr>
        <w:t>annexes should be sent.</w:t>
      </w:r>
    </w:p>
    <w:p w14:paraId="69D765E4" w14:textId="77777777" w:rsidR="008B4806" w:rsidRPr="00BA6979" w:rsidRDefault="008B4806" w:rsidP="00EA610C">
      <w:pPr>
        <w:pStyle w:val="Guidelines3"/>
        <w:numPr>
          <w:ilvl w:val="2"/>
          <w:numId w:val="6"/>
        </w:numPr>
      </w:pPr>
      <w:bookmarkStart w:id="72" w:name="_Toc185257683"/>
      <w:bookmarkStart w:id="73" w:name="_Toc125454357"/>
      <w:r w:rsidRPr="00BA6979">
        <w:t xml:space="preserve">Where and how to send </w:t>
      </w:r>
      <w:r w:rsidR="003A23FE" w:rsidRPr="00BA6979">
        <w:t>f</w:t>
      </w:r>
      <w:r w:rsidRPr="00BA6979">
        <w:t xml:space="preserve">ull </w:t>
      </w:r>
      <w:r w:rsidR="003A23FE" w:rsidRPr="00BA6979">
        <w:t>a</w:t>
      </w:r>
      <w:r w:rsidRPr="00BA6979">
        <w:t>pplication</w:t>
      </w:r>
      <w:r w:rsidR="003A23FE" w:rsidRPr="00BA6979">
        <w:t>s</w:t>
      </w:r>
      <w:bookmarkEnd w:id="72"/>
      <w:r w:rsidRPr="00BA6979">
        <w:t xml:space="preserve"> </w:t>
      </w:r>
      <w:bookmarkEnd w:id="73"/>
    </w:p>
    <w:p w14:paraId="076CD644" w14:textId="77777777" w:rsidR="00BE2542" w:rsidRPr="00423CB3" w:rsidRDefault="00BE2542" w:rsidP="00F36C74">
      <w:pPr>
        <w:spacing w:after="120" w:line="240" w:lineRule="atLeast"/>
      </w:pPr>
      <w:r w:rsidRPr="00FE05D4">
        <w:t xml:space="preserve">Full </w:t>
      </w:r>
      <w:r>
        <w:t>a</w:t>
      </w:r>
      <w:r w:rsidRPr="00FE05D4">
        <w:t>pplication</w:t>
      </w:r>
      <w:r w:rsidR="000F1310">
        <w:t>s</w:t>
      </w:r>
      <w:r>
        <w:t xml:space="preserve"> </w:t>
      </w:r>
      <w:r w:rsidR="000F1310">
        <w:t>(</w:t>
      </w:r>
      <w:proofErr w:type="gramStart"/>
      <w:r w:rsidR="000F1310">
        <w:t>i.e.</w:t>
      </w:r>
      <w:proofErr w:type="gramEnd"/>
      <w:r w:rsidR="000F1310">
        <w:t xml:space="preserve"> the full application </w:t>
      </w:r>
      <w:r>
        <w:t>form</w:t>
      </w:r>
      <w:r w:rsidR="000F1310">
        <w:t xml:space="preserve">, </w:t>
      </w:r>
      <w:r w:rsidR="006C2335">
        <w:t xml:space="preserve">PADOR </w:t>
      </w:r>
      <w:r w:rsidR="00FB5B6A">
        <w:t>registration</w:t>
      </w:r>
      <w:r w:rsidR="006C2335">
        <w:t xml:space="preserve"> form (where applicable)</w:t>
      </w:r>
      <w:bookmarkStart w:id="74" w:name="_Ref164266883"/>
      <w:r w:rsidR="0051180F">
        <w:rPr>
          <w:rStyle w:val="Funotenzeichen"/>
        </w:rPr>
        <w:footnoteReference w:id="22"/>
      </w:r>
      <w:bookmarkEnd w:id="74"/>
      <w:r w:rsidR="006C2335">
        <w:t>,</w:t>
      </w:r>
      <w:r w:rsidR="00420D0B">
        <w:t xml:space="preserve"> </w:t>
      </w:r>
      <w:r>
        <w:t>the budget</w:t>
      </w:r>
      <w:r w:rsidR="00420D0B">
        <w:t>,</w:t>
      </w:r>
      <w:r>
        <w:t xml:space="preserve"> the logical framework</w:t>
      </w:r>
      <w:r w:rsidR="00420D0B">
        <w:t>,</w:t>
      </w:r>
      <w:r>
        <w:t xml:space="preserve"> </w:t>
      </w:r>
      <w:r w:rsidR="00BC6D74">
        <w:t xml:space="preserve">the declaration on honour on exclusion criteria, </w:t>
      </w:r>
      <w:r>
        <w:t>and the declaration by the lead applicant</w:t>
      </w:r>
      <w:r w:rsidR="000F1310">
        <w:t>)</w:t>
      </w:r>
      <w:r>
        <w:t xml:space="preserve"> must</w:t>
      </w:r>
      <w:r w:rsidRPr="00FE05D4">
        <w:t xml:space="preserve"> be submitted online via PROSPECT </w:t>
      </w:r>
      <w:hyperlink r:id="rId32" w:history="1">
        <w:r w:rsidR="00F874BB" w:rsidRPr="00556E3A">
          <w:rPr>
            <w:rStyle w:val="Hyperlink"/>
          </w:rPr>
          <w:t>https://webgate.ec.europa.eu/prospect</w:t>
        </w:r>
      </w:hyperlink>
      <w:r w:rsidR="00F874BB">
        <w:t xml:space="preserve"> </w:t>
      </w:r>
      <w:r w:rsidRPr="00FE05D4">
        <w:t xml:space="preserve">following the instructions given in the </w:t>
      </w:r>
      <w:r w:rsidR="00661497">
        <w:t xml:space="preserve">PROSPECT </w:t>
      </w:r>
      <w:r w:rsidRPr="00FE05D4">
        <w:t>users</w:t>
      </w:r>
      <w:r w:rsidRPr="00D52530">
        <w:t>’</w:t>
      </w:r>
      <w:r w:rsidRPr="00FE05D4">
        <w:t xml:space="preserve"> manual</w:t>
      </w:r>
      <w:r>
        <w:t>.</w:t>
      </w:r>
    </w:p>
    <w:p w14:paraId="75649A89" w14:textId="77777777" w:rsidR="00F83818" w:rsidRPr="001B7D50" w:rsidRDefault="00BE2542" w:rsidP="00F36C74">
      <w:pPr>
        <w:spacing w:after="120" w:line="240" w:lineRule="atLeast"/>
        <w:rPr>
          <w:lang w:val="en-IE"/>
        </w:rPr>
      </w:pPr>
      <w:r w:rsidRPr="00FE05D4">
        <w:t xml:space="preserve">Upon submission of the </w:t>
      </w:r>
      <w:r>
        <w:t>f</w:t>
      </w:r>
      <w:r w:rsidRPr="00FE05D4">
        <w:t xml:space="preserve">ull </w:t>
      </w:r>
      <w:r>
        <w:t>a</w:t>
      </w:r>
      <w:r w:rsidRPr="00FE05D4">
        <w:t xml:space="preserve">pplication online, </w:t>
      </w:r>
      <w:r>
        <w:t>the lead a</w:t>
      </w:r>
      <w:r w:rsidRPr="00FE05D4">
        <w:t>pplicants will receive an automatic confirmation of receipt in their PROSPECT profile.</w:t>
      </w:r>
      <w:r>
        <w:t xml:space="preserve"> </w:t>
      </w:r>
      <w:bookmarkStart w:id="75" w:name="_Hlk164276080"/>
      <w:r w:rsidR="0051180F">
        <w:t>The other supporting documents, except the declaration on honour on exclusion criteria, shall be uploaded in PADOR</w:t>
      </w:r>
      <w:r w:rsidR="0051180F">
        <w:rPr>
          <w:rStyle w:val="Funotenzeichen"/>
        </w:rPr>
        <w:footnoteReference w:id="23"/>
      </w:r>
      <w:r w:rsidR="0051180F">
        <w:t xml:space="preserve">. </w:t>
      </w:r>
      <w:bookmarkEnd w:id="75"/>
    </w:p>
    <w:p w14:paraId="2F895D93" w14:textId="77777777" w:rsidR="008B4806" w:rsidRPr="00BA6979" w:rsidRDefault="008B4806" w:rsidP="00EA610C">
      <w:pPr>
        <w:pStyle w:val="Guidelines3"/>
        <w:numPr>
          <w:ilvl w:val="2"/>
          <w:numId w:val="6"/>
        </w:numPr>
      </w:pPr>
      <w:bookmarkStart w:id="76" w:name="_Toc185257684"/>
      <w:bookmarkStart w:id="77" w:name="_Toc125454358"/>
      <w:r w:rsidRPr="00BA6979">
        <w:t>Deadline for</w:t>
      </w:r>
      <w:r w:rsidR="006548FC" w:rsidRPr="00BA6979">
        <w:t xml:space="preserve"> submission</w:t>
      </w:r>
      <w:r w:rsidRPr="00BA6979">
        <w:t xml:space="preserve"> of</w:t>
      </w:r>
      <w:r w:rsidR="001507E7" w:rsidRPr="00BA6979">
        <w:t xml:space="preserve"> </w:t>
      </w:r>
      <w:r w:rsidR="00661830" w:rsidRPr="00BA6979">
        <w:t>f</w:t>
      </w:r>
      <w:r w:rsidR="001507E7" w:rsidRPr="00BA6979">
        <w:t xml:space="preserve">ull </w:t>
      </w:r>
      <w:r w:rsidR="00661830" w:rsidRPr="00BA6979">
        <w:t>a</w:t>
      </w:r>
      <w:r w:rsidRPr="00BA6979">
        <w:t>pplication</w:t>
      </w:r>
      <w:r w:rsidR="00661830" w:rsidRPr="00BA6979">
        <w:t>s</w:t>
      </w:r>
      <w:bookmarkEnd w:id="76"/>
      <w:r w:rsidR="001507E7" w:rsidRPr="00BA6979">
        <w:t xml:space="preserve"> </w:t>
      </w:r>
      <w:bookmarkEnd w:id="77"/>
    </w:p>
    <w:p w14:paraId="43D7A825" w14:textId="77777777" w:rsidR="00235015" w:rsidRPr="00FE05D4" w:rsidRDefault="00235015" w:rsidP="00F36C74">
      <w:pPr>
        <w:spacing w:after="120" w:line="240" w:lineRule="atLeast"/>
      </w:pPr>
      <w:r w:rsidRPr="00FE05D4">
        <w:t xml:space="preserve">The deadline for the submission of </w:t>
      </w:r>
      <w:r>
        <w:t xml:space="preserve">full </w:t>
      </w:r>
      <w:r w:rsidRPr="00FE05D4">
        <w:t xml:space="preserve">applications will be indicated in the letter sent to the </w:t>
      </w:r>
      <w:r>
        <w:t>lead a</w:t>
      </w:r>
      <w:r w:rsidRPr="00FE05D4">
        <w:t xml:space="preserve">pplicants whose application has been pre-selected. This letter will appear online automatically in the PROSPECT profile of the </w:t>
      </w:r>
      <w:r>
        <w:t>lead a</w:t>
      </w:r>
      <w:r w:rsidRPr="00FE05D4">
        <w:t xml:space="preserve">pplicant. </w:t>
      </w:r>
    </w:p>
    <w:p w14:paraId="435A61D1" w14:textId="77777777" w:rsidR="00235015" w:rsidRPr="00FE05D4" w:rsidRDefault="00235015" w:rsidP="00F36C74">
      <w:pPr>
        <w:spacing w:after="120" w:line="240" w:lineRule="atLeast"/>
      </w:pPr>
      <w:r>
        <w:rPr>
          <w:b/>
        </w:rPr>
        <w:t>Lead a</w:t>
      </w:r>
      <w:r w:rsidRPr="007904B1">
        <w:rPr>
          <w:b/>
        </w:rPr>
        <w:t xml:space="preserve">pplicants are strongly advised not to wait until the last day to submit their </w:t>
      </w:r>
      <w:r>
        <w:rPr>
          <w:b/>
        </w:rPr>
        <w:t>f</w:t>
      </w:r>
      <w:r w:rsidRPr="007904B1">
        <w:rPr>
          <w:b/>
        </w:rPr>
        <w:t xml:space="preserve">ull </w:t>
      </w:r>
      <w:r>
        <w:rPr>
          <w:b/>
        </w:rPr>
        <w:t>a</w:t>
      </w:r>
      <w:r w:rsidRPr="007904B1">
        <w:rPr>
          <w:b/>
        </w:rPr>
        <w:t>pplications</w:t>
      </w:r>
      <w:r w:rsidRPr="00FE05D4">
        <w:t xml:space="preserve">, since heavy Internet traffic or a fault with the Internet connection (including electricity failure, etc.) could lead to difficulties in submission. The Contacting Authority cannot be held responsible for any delay due to such afore-mentioned difficulties. </w:t>
      </w:r>
    </w:p>
    <w:p w14:paraId="7D67689D" w14:textId="77777777" w:rsidR="00B41A93" w:rsidRPr="00807DAF" w:rsidRDefault="00235015" w:rsidP="00F36C74">
      <w:pPr>
        <w:spacing w:after="120" w:line="240" w:lineRule="atLeast"/>
      </w:pPr>
      <w:r w:rsidRPr="00FE05D4">
        <w:t xml:space="preserve">Any application submitted after the deadline will be rejected. </w:t>
      </w:r>
      <w:r w:rsidR="00B41A93" w:rsidRPr="00807DAF">
        <w:t xml:space="preserve"> </w:t>
      </w:r>
    </w:p>
    <w:p w14:paraId="03253923" w14:textId="77777777" w:rsidR="008B4806" w:rsidRPr="00BA6979" w:rsidRDefault="008B4806" w:rsidP="00EA610C">
      <w:pPr>
        <w:pStyle w:val="Guidelines3"/>
        <w:numPr>
          <w:ilvl w:val="2"/>
          <w:numId w:val="6"/>
        </w:numPr>
      </w:pPr>
      <w:bookmarkStart w:id="78" w:name="_Toc185257685"/>
      <w:bookmarkStart w:id="79" w:name="_Toc125454359"/>
      <w:r w:rsidRPr="00BA6979">
        <w:t>Further informatio</w:t>
      </w:r>
      <w:r w:rsidR="001507E7" w:rsidRPr="00BA6979">
        <w:t xml:space="preserve">n </w:t>
      </w:r>
      <w:r w:rsidR="00000396" w:rsidRPr="00BA6979">
        <w:t>about</w:t>
      </w:r>
      <w:r w:rsidR="001507E7" w:rsidRPr="00BA6979">
        <w:t xml:space="preserve"> </w:t>
      </w:r>
      <w:r w:rsidR="00661830" w:rsidRPr="00BA6979">
        <w:t>f</w:t>
      </w:r>
      <w:r w:rsidR="001507E7" w:rsidRPr="00BA6979">
        <w:t xml:space="preserve">ull </w:t>
      </w:r>
      <w:r w:rsidR="00661830" w:rsidRPr="00BA6979">
        <w:t>a</w:t>
      </w:r>
      <w:r w:rsidR="001507E7" w:rsidRPr="00BA6979">
        <w:t>pplication</w:t>
      </w:r>
      <w:r w:rsidR="00661830" w:rsidRPr="00BA6979">
        <w:t>s</w:t>
      </w:r>
      <w:bookmarkEnd w:id="78"/>
      <w:r w:rsidR="001507E7" w:rsidRPr="00BA6979">
        <w:t xml:space="preserve"> </w:t>
      </w:r>
      <w:bookmarkEnd w:id="79"/>
    </w:p>
    <w:p w14:paraId="460DAEFC" w14:textId="77777777" w:rsidR="008B4806" w:rsidRPr="00BA6979" w:rsidRDefault="008B4806" w:rsidP="00F36C74">
      <w:pPr>
        <w:spacing w:after="120" w:line="240" w:lineRule="atLeast"/>
      </w:pPr>
      <w:r w:rsidRPr="00BA6979">
        <w:t xml:space="preserve">Questions may be sent by e-mail no later than 21 days before the deadline for the </w:t>
      </w:r>
      <w:r w:rsidR="00CA6D19" w:rsidRPr="00BA6979">
        <w:t xml:space="preserve">submission </w:t>
      </w:r>
      <w:r w:rsidRPr="00BA6979">
        <w:t xml:space="preserve">of </w:t>
      </w:r>
      <w:r w:rsidR="00661830" w:rsidRPr="00BA6979">
        <w:t xml:space="preserve">full </w:t>
      </w:r>
      <w:r w:rsidR="006459C5" w:rsidRPr="00BA6979">
        <w:t>application</w:t>
      </w:r>
      <w:r w:rsidRPr="00BA6979">
        <w:t xml:space="preserve">s to the addresses listed below, indicating clearly the reference of the </w:t>
      </w:r>
      <w:r w:rsidR="00661830" w:rsidRPr="00BA6979">
        <w:t>c</w:t>
      </w:r>
      <w:r w:rsidR="001D0C7B" w:rsidRPr="00BA6979">
        <w:t xml:space="preserve">all for </w:t>
      </w:r>
      <w:r w:rsidR="00661830" w:rsidRPr="00BA6979">
        <w:t>p</w:t>
      </w:r>
      <w:r w:rsidR="001D0C7B" w:rsidRPr="00BA6979">
        <w:t>roposals</w:t>
      </w:r>
      <w:r w:rsidRPr="00BA6979">
        <w:t>:</w:t>
      </w:r>
    </w:p>
    <w:p w14:paraId="15FEC707" w14:textId="77777777" w:rsidR="008B4806" w:rsidRPr="00BA6979" w:rsidRDefault="008B4806" w:rsidP="00F36C74">
      <w:pPr>
        <w:spacing w:after="120" w:line="240" w:lineRule="atLeast"/>
        <w:ind w:left="709"/>
      </w:pPr>
      <w:r w:rsidRPr="00BA6979">
        <w:t>E-mail address:</w:t>
      </w:r>
      <w:r w:rsidR="002F3F27" w:rsidRPr="00BA6979">
        <w:t xml:space="preserve"> </w:t>
      </w:r>
      <w:hyperlink r:id="rId33" w:history="1">
        <w:r w:rsidR="00212E0B" w:rsidRPr="00A7718B">
          <w:rPr>
            <w:rStyle w:val="Hyperlink"/>
            <w:b/>
            <w:noProof/>
            <w:szCs w:val="22"/>
          </w:rPr>
          <w:t>delegation-moldova-procurement@eeas.europa.eu</w:t>
        </w:r>
      </w:hyperlink>
      <w:r w:rsidR="00212E0B">
        <w:rPr>
          <w:b/>
          <w:noProof/>
          <w:szCs w:val="22"/>
        </w:rPr>
        <w:t xml:space="preserve"> </w:t>
      </w:r>
    </w:p>
    <w:p w14:paraId="6A261AFA" w14:textId="77777777" w:rsidR="007C4720" w:rsidRPr="00BA6979" w:rsidRDefault="007C4720" w:rsidP="00F36C74">
      <w:pPr>
        <w:spacing w:after="120" w:line="240" w:lineRule="atLeast"/>
      </w:pPr>
      <w:r w:rsidRPr="00BA6979">
        <w:t xml:space="preserve">The </w:t>
      </w:r>
      <w:r w:rsidR="00221350" w:rsidRPr="00BA6979">
        <w:t>c</w:t>
      </w:r>
      <w:r w:rsidRPr="00BA6979">
        <w:t xml:space="preserve">ontracting </w:t>
      </w:r>
      <w:r w:rsidR="00221350" w:rsidRPr="00BA6979">
        <w:t>a</w:t>
      </w:r>
      <w:r w:rsidRPr="00BA6979">
        <w:t>uthority has no obligation to provide clarifications to questions received after this date.</w:t>
      </w:r>
    </w:p>
    <w:p w14:paraId="52E5D4F1" w14:textId="77777777" w:rsidR="008B4806" w:rsidRPr="00BA6979" w:rsidRDefault="008B4806" w:rsidP="00F36C74">
      <w:pPr>
        <w:spacing w:after="120" w:line="240" w:lineRule="atLeast"/>
      </w:pPr>
      <w:r w:rsidRPr="00BA6979">
        <w:lastRenderedPageBreak/>
        <w:t xml:space="preserve">Replies will be given no later than 11 days before the deadline for the </w:t>
      </w:r>
      <w:r w:rsidR="00CA6D19" w:rsidRPr="00BA6979">
        <w:t xml:space="preserve">submission </w:t>
      </w:r>
      <w:r w:rsidRPr="00BA6979">
        <w:t xml:space="preserve">of </w:t>
      </w:r>
      <w:r w:rsidR="00661830" w:rsidRPr="00BA6979">
        <w:t xml:space="preserve">full </w:t>
      </w:r>
      <w:r w:rsidR="006459C5" w:rsidRPr="00BA6979">
        <w:t>application</w:t>
      </w:r>
      <w:r w:rsidRPr="00BA6979">
        <w:t xml:space="preserve">s. </w:t>
      </w:r>
    </w:p>
    <w:p w14:paraId="5626FF83" w14:textId="77777777" w:rsidR="00376E92" w:rsidRPr="00BA6979" w:rsidRDefault="0040484C" w:rsidP="00F36C74">
      <w:pPr>
        <w:spacing w:after="120" w:line="240" w:lineRule="atLeast"/>
      </w:pPr>
      <w:r w:rsidRPr="00BA6979">
        <w:t>To ensure</w:t>
      </w:r>
      <w:r w:rsidR="008B4806" w:rsidRPr="00BA6979">
        <w:t xml:space="preserve"> equal treatment of applicants, the </w:t>
      </w:r>
      <w:r w:rsidR="00221350" w:rsidRPr="00BA6979">
        <w:t>c</w:t>
      </w:r>
      <w:r w:rsidR="008B4806" w:rsidRPr="00BA6979">
        <w:t xml:space="preserve">ontracting </w:t>
      </w:r>
      <w:r w:rsidR="00221350" w:rsidRPr="00BA6979">
        <w:t>a</w:t>
      </w:r>
      <w:r w:rsidR="008B4806" w:rsidRPr="00BA6979">
        <w:t xml:space="preserve">uthority cannot give a prior opinion on the eligibility of </w:t>
      </w:r>
      <w:r w:rsidR="00B114D9" w:rsidRPr="00BA6979">
        <w:t>lead a</w:t>
      </w:r>
      <w:r w:rsidR="008B4806" w:rsidRPr="00BA6979">
        <w:t>pplicant</w:t>
      </w:r>
      <w:r w:rsidR="000D40CC" w:rsidRPr="00BA6979">
        <w:t>s</w:t>
      </w:r>
      <w:r w:rsidR="00661830" w:rsidRPr="00BA6979">
        <w:t>, co-applicants</w:t>
      </w:r>
      <w:r w:rsidR="008B4806" w:rsidRPr="00BA6979">
        <w:t xml:space="preserve">, </w:t>
      </w:r>
      <w:r w:rsidR="000D40CC" w:rsidRPr="00BA6979">
        <w:t>affiliated entity(</w:t>
      </w:r>
      <w:proofErr w:type="spellStart"/>
      <w:r w:rsidR="000D40CC" w:rsidRPr="00BA6979">
        <w:t>ies</w:t>
      </w:r>
      <w:proofErr w:type="spellEnd"/>
      <w:r w:rsidR="000D40CC" w:rsidRPr="00BA6979">
        <w:t xml:space="preserve">), </w:t>
      </w:r>
      <w:r w:rsidR="008B4806" w:rsidRPr="00BA6979">
        <w:t>or an action.</w:t>
      </w:r>
    </w:p>
    <w:p w14:paraId="312515E3" w14:textId="77777777" w:rsidR="005436B3" w:rsidRPr="00BA6979" w:rsidRDefault="00376E92" w:rsidP="00F36C74">
      <w:pPr>
        <w:spacing w:after="120" w:line="240" w:lineRule="atLeast"/>
        <w:rPr>
          <w:szCs w:val="22"/>
        </w:rPr>
      </w:pPr>
      <w:r w:rsidRPr="00BA6979">
        <w:t>No individual replies will be given to questions. All questions and answers as well as other important notices to applicants during the course of the evaluation procedure</w:t>
      </w:r>
      <w:r w:rsidR="008B4806" w:rsidRPr="00BA6979">
        <w:t>, will be published on the</w:t>
      </w:r>
      <w:r w:rsidR="001249D9" w:rsidRPr="00BA6979">
        <w:t xml:space="preserve"> </w:t>
      </w:r>
      <w:r w:rsidR="008B4806" w:rsidRPr="00BA6979">
        <w:t>website</w:t>
      </w:r>
      <w:r w:rsidR="001249D9" w:rsidRPr="00BA6979">
        <w:t xml:space="preserve"> of DG International</w:t>
      </w:r>
      <w:r w:rsidR="0027264B">
        <w:t xml:space="preserve"> Partnerships</w:t>
      </w:r>
      <w:r w:rsidR="001249D9" w:rsidRPr="00BA6979">
        <w:t>:</w:t>
      </w:r>
      <w:r w:rsidR="009C3DFC" w:rsidRPr="00BA6979">
        <w:t xml:space="preserve"> </w:t>
      </w:r>
      <w:hyperlink r:id="rId34" w:history="1">
        <w:r w:rsidR="0041369D" w:rsidRPr="009C76F9">
          <w:rPr>
            <w:rStyle w:val="Hyperlink"/>
            <w:szCs w:val="22"/>
          </w:rPr>
          <w:t>https://ec.europa.eu/international-partnerships/home_fr</w:t>
        </w:r>
      </w:hyperlink>
      <w:r w:rsidR="0041369D">
        <w:rPr>
          <w:szCs w:val="22"/>
        </w:rPr>
        <w:t xml:space="preserve"> </w:t>
      </w:r>
      <w:r w:rsidR="005436B3">
        <w:rPr>
          <w:szCs w:val="22"/>
        </w:rPr>
        <w:t>and/</w:t>
      </w:r>
      <w:r w:rsidR="005436B3" w:rsidRPr="00232301">
        <w:rPr>
          <w:szCs w:val="22"/>
        </w:rPr>
        <w:t xml:space="preserve">or </w:t>
      </w:r>
      <w:r w:rsidR="005436B3" w:rsidRPr="00933F69">
        <w:t xml:space="preserve">Funding &amp; </w:t>
      </w:r>
      <w:r w:rsidR="005436B3">
        <w:t>T</w:t>
      </w:r>
      <w:r w:rsidR="005436B3" w:rsidRPr="00232301">
        <w:t>ender opportunities (F&amp;T Portal)</w:t>
      </w:r>
      <w:r w:rsidR="005436B3" w:rsidRPr="00832ACF">
        <w:rPr>
          <w:szCs w:val="22"/>
          <w:u w:val="single"/>
        </w:rPr>
        <w:t xml:space="preserve"> </w:t>
      </w:r>
      <w:hyperlink r:id="rId35" w:history="1">
        <w:r w:rsidR="005436B3" w:rsidRPr="00832ACF">
          <w:rPr>
            <w:rStyle w:val="Hyperlink"/>
            <w:szCs w:val="22"/>
          </w:rPr>
          <w:t>https://ec.europa.eu/info/funding-tenders/opportunities/portal/screen/home</w:t>
        </w:r>
      </w:hyperlink>
      <w:r w:rsidR="005436B3" w:rsidRPr="0007498A">
        <w:t xml:space="preserve"> </w:t>
      </w:r>
      <w:r w:rsidR="00212E0B">
        <w:t xml:space="preserve">and </w:t>
      </w:r>
      <w:hyperlink r:id="rId36" w:history="1">
        <w:r w:rsidR="00212E0B" w:rsidRPr="00A7718B">
          <w:rPr>
            <w:rStyle w:val="Hyperlink"/>
          </w:rPr>
          <w:t>https://www.eeas.europa.eu/delegations/moldova_en?s=223</w:t>
        </w:r>
      </w:hyperlink>
      <w:r w:rsidR="002D7F4A" w:rsidRPr="0007498A">
        <w:t>,</w:t>
      </w:r>
      <w:r w:rsidR="002D7F4A" w:rsidRPr="00BA6979">
        <w:t xml:space="preserve"> as the need arises</w:t>
      </w:r>
      <w:r w:rsidR="009C3DFC" w:rsidRPr="00BA6979">
        <w:t>.</w:t>
      </w:r>
      <w:r w:rsidR="002128D0" w:rsidRPr="00BA6979">
        <w:t xml:space="preserve"> It is therefore </w:t>
      </w:r>
      <w:r w:rsidR="0040484C" w:rsidRPr="00BA6979">
        <w:t>advisable</w:t>
      </w:r>
      <w:r w:rsidR="002128D0" w:rsidRPr="00BA6979">
        <w:t xml:space="preserve"> to consult the abovementioned website</w:t>
      </w:r>
      <w:r w:rsidR="0040484C" w:rsidRPr="00BA6979">
        <w:t xml:space="preserve"> regularly</w:t>
      </w:r>
      <w:r w:rsidR="002128D0" w:rsidRPr="00BA6979">
        <w:t xml:space="preserve"> in order to be informed of the q</w:t>
      </w:r>
      <w:r w:rsidR="00A6547C" w:rsidRPr="00BA6979">
        <w:t>uestions and answers published.</w:t>
      </w:r>
    </w:p>
    <w:p w14:paraId="76C5825F" w14:textId="77777777" w:rsidR="001558C4" w:rsidRDefault="00045368" w:rsidP="00F36C74">
      <w:pPr>
        <w:spacing w:after="120" w:line="240" w:lineRule="atLeast"/>
        <w:rPr>
          <w:szCs w:val="22"/>
        </w:rPr>
      </w:pPr>
      <w:r w:rsidRPr="00FE05D4">
        <w:t>All questions related to registration in PADOR or the online submission via PROSPECT should be addressed to the IT helpdesk at</w:t>
      </w:r>
      <w:r w:rsidR="005E4863">
        <w:t xml:space="preserve"> </w:t>
      </w:r>
      <w:hyperlink r:id="rId37" w:history="1">
        <w:r w:rsidR="005E4863" w:rsidRPr="005E4863">
          <w:rPr>
            <w:rStyle w:val="Hyperlink"/>
            <w:lang w:val="en-IE"/>
          </w:rPr>
          <w:t>ec-external-relations-application-support@ec.europa.eu</w:t>
        </w:r>
      </w:hyperlink>
      <w:r w:rsidR="005E4863">
        <w:rPr>
          <w:lang w:val="en-IE"/>
        </w:rPr>
        <w:t xml:space="preserve"> </w:t>
      </w:r>
      <w:hyperlink r:id="rId38" w:history="1"/>
      <w:r>
        <w:rPr>
          <w:b/>
        </w:rPr>
        <w:t>via the online support form in PROSPECT.</w:t>
      </w:r>
      <w:r>
        <w:t xml:space="preserve"> Please note that the working languages of the IT support are English French and Spanish. </w:t>
      </w:r>
      <w:proofErr w:type="gramStart"/>
      <w:r>
        <w:t>Therefore</w:t>
      </w:r>
      <w:proofErr w:type="gramEnd"/>
      <w:r>
        <w:t xml:space="preserve"> users are invited to send their questions in English, French or Spanish should they wish to benefit from an optimum response time.</w:t>
      </w:r>
      <w:bookmarkStart w:id="80" w:name="_Hlk163810152"/>
      <w:r w:rsidR="001558C4" w:rsidRPr="00517845">
        <w:rPr>
          <w:szCs w:val="22"/>
        </w:rPr>
        <w:t xml:space="preserve"> </w:t>
      </w:r>
    </w:p>
    <w:p w14:paraId="12277FB5" w14:textId="77777777" w:rsidR="00937483" w:rsidRDefault="00937483" w:rsidP="00F36C74">
      <w:pPr>
        <w:spacing w:after="120" w:line="240" w:lineRule="atLeast"/>
        <w:rPr>
          <w:szCs w:val="22"/>
        </w:rPr>
      </w:pPr>
      <w:r w:rsidRPr="006769D7">
        <w:rPr>
          <w:snapToGrid w:val="0"/>
          <w:szCs w:val="22"/>
        </w:rPr>
        <w:t xml:space="preserve">Please note that the contracting authority may decide to cancel the call for proposals procedure at any stage according to the conditions set out in Section 6.5.9 of the </w:t>
      </w:r>
      <w:r>
        <w:rPr>
          <w:snapToGrid w:val="0"/>
          <w:szCs w:val="22"/>
        </w:rPr>
        <w:t>practical guide.</w:t>
      </w:r>
    </w:p>
    <w:p w14:paraId="105B0CB6" w14:textId="77777777" w:rsidR="0007408E" w:rsidRPr="00807DAF" w:rsidRDefault="0007408E" w:rsidP="00EA610C">
      <w:pPr>
        <w:pStyle w:val="Guidelines2"/>
        <w:numPr>
          <w:ilvl w:val="1"/>
          <w:numId w:val="6"/>
        </w:numPr>
        <w:rPr>
          <w:i/>
        </w:rPr>
      </w:pPr>
      <w:bookmarkStart w:id="81" w:name="_Toc185257686"/>
      <w:bookmarkStart w:id="82" w:name="_Toc40507653"/>
      <w:bookmarkEnd w:id="80"/>
      <w:r w:rsidRPr="00807DAF">
        <w:t>Evaluation</w:t>
      </w:r>
      <w:bookmarkEnd w:id="81"/>
      <w:r w:rsidRPr="00807DAF">
        <w:t xml:space="preserve"> </w:t>
      </w:r>
      <w:bookmarkEnd w:id="82"/>
    </w:p>
    <w:p w14:paraId="10036050" w14:textId="77777777" w:rsidR="0007408E" w:rsidRPr="00807DAF" w:rsidRDefault="0007408E" w:rsidP="00F36C74">
      <w:pPr>
        <w:spacing w:after="120" w:line="240" w:lineRule="atLeast"/>
      </w:pPr>
      <w:r w:rsidRPr="00807DAF">
        <w:t xml:space="preserve">Applications will be examined and evaluated by the </w:t>
      </w:r>
      <w:r w:rsidR="00221350">
        <w:t>c</w:t>
      </w:r>
      <w:r w:rsidRPr="00807DAF">
        <w:t xml:space="preserve">ontracting </w:t>
      </w:r>
      <w:r w:rsidR="00221350">
        <w:t>a</w:t>
      </w:r>
      <w:r w:rsidRPr="00807DAF">
        <w:t xml:space="preserve">uthority with the possible assistance of assessors. </w:t>
      </w:r>
      <w:r w:rsidR="007C4578">
        <w:t xml:space="preserve">All applications </w:t>
      </w:r>
      <w:r w:rsidRPr="00807DAF">
        <w:t xml:space="preserve">will be assessed according to the following </w:t>
      </w:r>
      <w:r w:rsidR="00C67E04" w:rsidRPr="00807DAF">
        <w:t>steps</w:t>
      </w:r>
      <w:r w:rsidR="00671019" w:rsidRPr="00807DAF">
        <w:t xml:space="preserve"> and criteria</w:t>
      </w:r>
      <w:r w:rsidR="00E17C2A" w:rsidRPr="00807DAF">
        <w:t>.</w:t>
      </w:r>
    </w:p>
    <w:p w14:paraId="6C928765" w14:textId="77777777" w:rsidR="00050E48" w:rsidRDefault="00050E48" w:rsidP="00F36C74">
      <w:pPr>
        <w:spacing w:after="120" w:line="240" w:lineRule="atLeast"/>
      </w:pPr>
      <w:r w:rsidRPr="00807DAF">
        <w:t xml:space="preserve">If the examination of the application reveals that the proposed action does not meet the </w:t>
      </w:r>
      <w:r w:rsidRPr="00807DAF">
        <w:rPr>
          <w:u w:val="single"/>
        </w:rPr>
        <w:t>eligibility criteria</w:t>
      </w:r>
      <w:r w:rsidRPr="00807DAF">
        <w:t xml:space="preserve"> stated in </w:t>
      </w:r>
      <w:r w:rsidR="00221350">
        <w:t>S</w:t>
      </w:r>
      <w:r w:rsidR="007C4578">
        <w:t>ection</w:t>
      </w:r>
      <w:r w:rsidR="007C4578" w:rsidRPr="00807DAF">
        <w:t xml:space="preserve"> </w:t>
      </w:r>
      <w:r w:rsidRPr="00807DAF">
        <w:t xml:space="preserve">2.1, the application </w:t>
      </w:r>
      <w:r w:rsidR="001151FE" w:rsidRPr="00807DAF">
        <w:t xml:space="preserve">will </w:t>
      </w:r>
      <w:r w:rsidRPr="00807DAF">
        <w:t>be rejected on this sole basis.</w:t>
      </w:r>
      <w:r w:rsidR="00B71C4B">
        <w:t xml:space="preserve"> </w:t>
      </w:r>
    </w:p>
    <w:p w14:paraId="4C611F95" w14:textId="77777777" w:rsidR="0000050E" w:rsidRPr="0000050E" w:rsidRDefault="0000050E" w:rsidP="00EA610C">
      <w:pPr>
        <w:pStyle w:val="Guidelines3"/>
        <w:numPr>
          <w:ilvl w:val="2"/>
          <w:numId w:val="6"/>
        </w:numPr>
      </w:pPr>
      <w:bookmarkStart w:id="83" w:name="_Toc185257687"/>
      <w:r w:rsidRPr="001B7D50">
        <w:t>STEP 1:</w:t>
      </w:r>
      <w:r w:rsidR="00164917">
        <w:t xml:space="preserve"> </w:t>
      </w:r>
      <w:r w:rsidRPr="001B7D50">
        <w:t>ADMINISTRATIVE CHECKS AND CONCEPT NOTE EVALUATION</w:t>
      </w:r>
      <w:bookmarkEnd w:id="83"/>
    </w:p>
    <w:p w14:paraId="45057491" w14:textId="77777777" w:rsidR="00402677" w:rsidRPr="00807DAF" w:rsidRDefault="007C4578" w:rsidP="00EA610C">
      <w:pPr>
        <w:numPr>
          <w:ilvl w:val="0"/>
          <w:numId w:val="13"/>
        </w:numPr>
        <w:tabs>
          <w:tab w:val="left" w:pos="426"/>
          <w:tab w:val="left" w:pos="1134"/>
        </w:tabs>
        <w:spacing w:after="120" w:line="240" w:lineRule="atLeast"/>
        <w:ind w:left="0" w:firstLine="0"/>
      </w:pPr>
      <w:r>
        <w:t>During the</w:t>
      </w:r>
      <w:r w:rsidR="00C34EA3">
        <w:t xml:space="preserve"> </w:t>
      </w:r>
      <w:r>
        <w:t>administrative check t</w:t>
      </w:r>
      <w:r w:rsidR="0059080E" w:rsidRPr="00807DAF">
        <w:t>he following will be assessed:</w:t>
      </w:r>
    </w:p>
    <w:p w14:paraId="7D55A58E" w14:textId="77777777" w:rsidR="00A762B5" w:rsidRPr="00807DAF" w:rsidRDefault="00A762B5" w:rsidP="00EA610C">
      <w:pPr>
        <w:numPr>
          <w:ilvl w:val="2"/>
          <w:numId w:val="14"/>
        </w:numPr>
        <w:spacing w:after="120" w:line="240" w:lineRule="atLeast"/>
        <w:ind w:left="709"/>
      </w:pPr>
      <w:r w:rsidRPr="00BA6979">
        <w:t>If the deadline has been met. Otherwise, the application will be automatically rejected.</w:t>
      </w:r>
    </w:p>
    <w:p w14:paraId="59BD3258" w14:textId="77777777" w:rsidR="0059080E" w:rsidRPr="00807DAF" w:rsidRDefault="00825A19" w:rsidP="00EA610C">
      <w:pPr>
        <w:numPr>
          <w:ilvl w:val="0"/>
          <w:numId w:val="14"/>
        </w:numPr>
        <w:spacing w:after="120" w:line="240" w:lineRule="atLeast"/>
      </w:pPr>
      <w:r>
        <w:t>If t</w:t>
      </w:r>
      <w:r w:rsidR="007A3169" w:rsidRPr="00807DAF">
        <w:t>he</w:t>
      </w:r>
      <w:r w:rsidR="008E27C2" w:rsidRPr="00807DAF">
        <w:t xml:space="preserve"> </w:t>
      </w:r>
      <w:r w:rsidR="005709E8" w:rsidRPr="00BA6979">
        <w:t>c</w:t>
      </w:r>
      <w:r w:rsidR="0084479D" w:rsidRPr="00BA6979">
        <w:t xml:space="preserve">oncept </w:t>
      </w:r>
      <w:r w:rsidR="005709E8" w:rsidRPr="00BA6979">
        <w:t>n</w:t>
      </w:r>
      <w:r w:rsidR="0084479D" w:rsidRPr="00BA6979">
        <w:t>ote</w:t>
      </w:r>
      <w:r w:rsidR="007B075A">
        <w:t xml:space="preserve"> </w:t>
      </w:r>
      <w:r w:rsidR="006B6FC1" w:rsidRPr="00807DAF">
        <w:t xml:space="preserve">satisfies all the criteria </w:t>
      </w:r>
      <w:r w:rsidR="00BD4B21" w:rsidRPr="00807DAF">
        <w:t xml:space="preserve">specified in </w:t>
      </w:r>
      <w:r w:rsidR="00C40B9B">
        <w:t xml:space="preserve">the checklist in </w:t>
      </w:r>
      <w:r w:rsidR="00AC4154" w:rsidRPr="00BA6979">
        <w:t>Annex A</w:t>
      </w:r>
      <w:r w:rsidR="00F43773" w:rsidRPr="00BA6979">
        <w:t>.1, Instructions</w:t>
      </w:r>
      <w:r w:rsidR="007B075A">
        <w:t xml:space="preserve"> </w:t>
      </w:r>
      <w:r w:rsidR="007A3169" w:rsidRPr="00807DAF">
        <w:t xml:space="preserve">of the </w:t>
      </w:r>
      <w:r w:rsidR="000A486E">
        <w:t>g</w:t>
      </w:r>
      <w:r w:rsidR="007A3169" w:rsidRPr="00807DAF">
        <w:t>rant application form</w:t>
      </w:r>
      <w:r w:rsidR="005913EB" w:rsidRPr="00807DAF">
        <w:t>.</w:t>
      </w:r>
      <w:r w:rsidR="00962588" w:rsidRPr="00807DAF">
        <w:t xml:space="preserve"> </w:t>
      </w:r>
      <w:r w:rsidR="00803E07">
        <w:t>This includes also an assessment of the eligibility of the action</w:t>
      </w:r>
      <w:r w:rsidR="00C40B9B">
        <w:t>.</w:t>
      </w:r>
      <w:r w:rsidR="00803E07" w:rsidRPr="00807DAF">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59080E" w:rsidRPr="00807DAF">
        <w:t xml:space="preserve"> </w:t>
      </w:r>
      <w:r w:rsidR="0087633A" w:rsidRPr="00807DAF">
        <w:t>may</w:t>
      </w:r>
      <w:r w:rsidR="007A3169" w:rsidRPr="00807DAF">
        <w:t xml:space="preserve"> </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4A413A40" w14:textId="77777777" w:rsidR="00C727EC" w:rsidRPr="00807DAF" w:rsidRDefault="00400B42" w:rsidP="00F36C74">
      <w:pPr>
        <w:spacing w:after="120" w:line="240" w:lineRule="atLeast"/>
      </w:pPr>
      <w:r w:rsidRPr="00807DAF">
        <w:t xml:space="preserve">The </w:t>
      </w:r>
      <w:r w:rsidR="00717ADB">
        <w:t>c</w:t>
      </w:r>
      <w:r w:rsidRPr="00807DAF">
        <w:t xml:space="preserve">oncept </w:t>
      </w:r>
      <w:r w:rsidR="00717ADB">
        <w:t>n</w:t>
      </w:r>
      <w:r w:rsidRPr="00807DAF">
        <w:t xml:space="preserve">otes that pass </w:t>
      </w:r>
      <w:r w:rsidR="00803E07">
        <w:t xml:space="preserve">this </w:t>
      </w:r>
      <w:r w:rsidRPr="00807DAF">
        <w:t xml:space="preserve">check will </w:t>
      </w:r>
      <w:r w:rsidR="00B83541" w:rsidRPr="00807DAF">
        <w:t>be evaluated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action</w:t>
      </w:r>
      <w:r w:rsidR="0002503B" w:rsidRPr="00807DAF">
        <w:t>.</w:t>
      </w:r>
    </w:p>
    <w:p w14:paraId="436492C0" w14:textId="77777777" w:rsidR="00400B42" w:rsidRPr="00807DAF" w:rsidRDefault="00400B42" w:rsidP="00F36C74">
      <w:pPr>
        <w:spacing w:after="120" w:line="240" w:lineRule="atLeast"/>
      </w:pPr>
      <w:r w:rsidRPr="00807DAF">
        <w:t xml:space="preserve">The </w:t>
      </w:r>
      <w:r w:rsidR="00717ADB">
        <w:t>c</w:t>
      </w:r>
      <w:r w:rsidRPr="00807DAF">
        <w:t xml:space="preserve">oncept </w:t>
      </w:r>
      <w:r w:rsidR="00717ADB">
        <w:t>n</w:t>
      </w:r>
      <w:r w:rsidRPr="00807DAF">
        <w:t>ote</w:t>
      </w:r>
      <w:r w:rsidR="00E80733">
        <w:t>s</w:t>
      </w:r>
      <w:r w:rsidRPr="00807DAF">
        <w:t xml:space="preserve"> will </w:t>
      </w:r>
      <w:r w:rsidR="00B83541" w:rsidRPr="00807DAF">
        <w:t>receive</w:t>
      </w:r>
      <w:r w:rsidRPr="00807DAF">
        <w:t xml:space="preserve"> an overall score out of 50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check on</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717ADB">
        <w:t>c</w:t>
      </w:r>
      <w:r w:rsidRPr="00807DAF">
        <w:t xml:space="preserve">oncept </w:t>
      </w:r>
      <w:r w:rsidR="00717ADB">
        <w:t>n</w:t>
      </w:r>
      <w:r w:rsidRPr="00807DAF">
        <w:t>ote</w:t>
      </w:r>
      <w:r w:rsidR="007B5847" w:rsidRPr="00807DAF">
        <w:t xml:space="preserve">, which can be found </w:t>
      </w:r>
      <w:r w:rsidR="008B1EA7" w:rsidRPr="00807DAF">
        <w:t xml:space="preserve">in </w:t>
      </w:r>
      <w:r w:rsidR="00E92E8A">
        <w:t>Annex A.1</w:t>
      </w:r>
      <w:r w:rsidR="007B5847" w:rsidRPr="00807DAF">
        <w:t>.</w:t>
      </w:r>
    </w:p>
    <w:p w14:paraId="045EA001" w14:textId="77777777" w:rsidR="00ED5802" w:rsidRPr="00807DAF" w:rsidRDefault="00ED5802" w:rsidP="00F36C74">
      <w:pPr>
        <w:spacing w:after="120" w:line="240" w:lineRule="atLeast"/>
      </w:pPr>
      <w:bookmarkStart w:id="84" w:name="_Toc159211906"/>
      <w:bookmarkStart w:id="85" w:name="_Toc159212662"/>
      <w:bookmarkStart w:id="86" w:name="_Toc159212881"/>
      <w:bookmarkStart w:id="87" w:name="_Toc159213197"/>
      <w:r w:rsidRPr="00807DAF">
        <w:t xml:space="preserve">The </w:t>
      </w:r>
      <w:r w:rsidRPr="00807DAF">
        <w:rPr>
          <w:u w:val="single"/>
        </w:rPr>
        <w:t>evaluation criteria</w:t>
      </w:r>
      <w:r w:rsidRPr="00807DAF">
        <w:t xml:space="preserve"> are divided into headings and subheadings. Each subheading will be given a score between 1 and 5 </w:t>
      </w:r>
      <w:r w:rsidR="006F44FB" w:rsidRPr="00807DAF">
        <w:t>as follows</w:t>
      </w:r>
      <w:r w:rsidRPr="00807DAF">
        <w:t>: 1 = very poor; 2 = poor; 3 = adequate; 4 = good; 5 = very good.</w:t>
      </w:r>
    </w:p>
    <w:bookmarkEnd w:id="84"/>
    <w:bookmarkEnd w:id="85"/>
    <w:bookmarkEnd w:id="86"/>
    <w:bookmarkEnd w:id="87"/>
    <w:p w14:paraId="3D2CE815" w14:textId="77777777" w:rsidR="00A6547C" w:rsidRDefault="00A6547C" w:rsidP="00F36C74">
      <w:pPr>
        <w:spacing w:after="120" w:line="240" w:lineRule="atLeast"/>
        <w:rPr>
          <w:b/>
        </w:rPr>
      </w:pPr>
      <w:r>
        <w:rPr>
          <w:b/>
        </w:rPr>
        <w:t>Evaluation Grid</w:t>
      </w:r>
    </w:p>
    <w:tbl>
      <w:tblPr>
        <w:tblW w:w="9990" w:type="dxa"/>
        <w:tblLayout w:type="fixed"/>
        <w:tblLook w:val="01E0" w:firstRow="1" w:lastRow="1" w:firstColumn="1" w:lastColumn="1" w:noHBand="0" w:noVBand="0"/>
      </w:tblPr>
      <w:tblGrid>
        <w:gridCol w:w="8682"/>
        <w:gridCol w:w="1308"/>
      </w:tblGrid>
      <w:tr w:rsidR="00A6547C" w14:paraId="1DCCD4BF"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03D6D" w14:textId="77777777" w:rsidR="00A6547C" w:rsidRDefault="00A6547C" w:rsidP="00F36C74">
            <w:pPr>
              <w:snapToGrid w:val="0"/>
              <w:spacing w:after="120" w:line="240" w:lineRule="atLeast"/>
              <w:rPr>
                <w:b/>
                <w:szCs w:val="22"/>
              </w:rPr>
            </w:pPr>
            <w:r>
              <w:rPr>
                <w:b/>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16999" w14:textId="77777777" w:rsidR="00A6547C" w:rsidRDefault="00A6547C" w:rsidP="00F36C74">
            <w:pPr>
              <w:snapToGrid w:val="0"/>
              <w:spacing w:after="120" w:line="240" w:lineRule="atLeast"/>
              <w:jc w:val="center"/>
              <w:rPr>
                <w:b/>
                <w:szCs w:val="22"/>
              </w:rPr>
            </w:pPr>
            <w:r>
              <w:rPr>
                <w:b/>
                <w:szCs w:val="22"/>
              </w:rPr>
              <w:t>Maximum Score</w:t>
            </w:r>
          </w:p>
        </w:tc>
      </w:tr>
      <w:tr w:rsidR="00A6547C" w14:paraId="5EB339A2"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0A65C6" w14:textId="77777777" w:rsidR="00A6547C" w:rsidRDefault="00A6547C" w:rsidP="00F36C74">
            <w:pPr>
              <w:snapToGrid w:val="0"/>
              <w:spacing w:after="120" w:line="240" w:lineRule="atLeast"/>
              <w:jc w:val="left"/>
              <w:rPr>
                <w:b/>
                <w:szCs w:val="22"/>
              </w:rPr>
            </w:pPr>
            <w:r>
              <w:rPr>
                <w:b/>
                <w:szCs w:val="22"/>
              </w:rPr>
              <w:t>1. Relevance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67EF3438" w14:textId="77777777" w:rsidR="00A6547C" w:rsidRDefault="00A6547C" w:rsidP="00F36C74">
            <w:pPr>
              <w:snapToGrid w:val="0"/>
              <w:spacing w:after="120" w:line="240" w:lineRule="atLeast"/>
              <w:rPr>
                <w:b/>
                <w:szCs w:val="22"/>
              </w:rPr>
            </w:pPr>
            <w:r>
              <w:rPr>
                <w:b/>
                <w:noProof/>
                <w:szCs w:val="22"/>
              </w:rPr>
              <w:t>20</w:t>
            </w:r>
          </w:p>
        </w:tc>
      </w:tr>
      <w:tr w:rsidR="00A6547C" w14:paraId="0B6CADFD"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1CB6EE45" w14:textId="77777777" w:rsidR="00A6547C" w:rsidRDefault="00A6547C" w:rsidP="00F36C74">
            <w:pPr>
              <w:snapToGrid w:val="0"/>
              <w:spacing w:after="120" w:line="240" w:lineRule="atLeast"/>
              <w:ind w:left="340" w:hanging="340"/>
              <w:rPr>
                <w:szCs w:val="22"/>
              </w:rPr>
            </w:pPr>
            <w:r>
              <w:rPr>
                <w:noProof/>
                <w:szCs w:val="22"/>
              </w:rPr>
              <w:t>1.1. Consistency with the objectives of the call: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308" w:type="dxa"/>
            <w:tcBorders>
              <w:top w:val="single" w:sz="4" w:space="0" w:color="auto"/>
              <w:left w:val="single" w:sz="4" w:space="0" w:color="auto"/>
              <w:bottom w:val="single" w:sz="4" w:space="0" w:color="auto"/>
              <w:right w:val="single" w:sz="4" w:space="0" w:color="auto"/>
            </w:tcBorders>
            <w:hideMark/>
          </w:tcPr>
          <w:p w14:paraId="30DF8E8E" w14:textId="77777777" w:rsidR="00A6547C" w:rsidRDefault="00A6547C" w:rsidP="00F36C74">
            <w:pPr>
              <w:snapToGrid w:val="0"/>
              <w:spacing w:after="120" w:line="240" w:lineRule="atLeast"/>
              <w:rPr>
                <w:szCs w:val="22"/>
                <w:u w:val="single"/>
              </w:rPr>
            </w:pPr>
            <w:r>
              <w:rPr>
                <w:noProof/>
                <w:szCs w:val="22"/>
              </w:rPr>
              <w:t>5</w:t>
            </w:r>
          </w:p>
        </w:tc>
      </w:tr>
      <w:tr w:rsidR="00A6547C" w14:paraId="29E17F2F"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635B7290" w14:textId="77777777" w:rsidR="00A6547C" w:rsidRDefault="00A6547C" w:rsidP="00F36C74">
            <w:pPr>
              <w:snapToGrid w:val="0"/>
              <w:spacing w:after="120" w:line="240" w:lineRule="atLeast"/>
              <w:ind w:left="340" w:hanging="340"/>
              <w:rPr>
                <w:szCs w:val="22"/>
              </w:rPr>
            </w:pPr>
            <w:r>
              <w:rPr>
                <w:noProof/>
                <w:szCs w:val="22"/>
              </w:rPr>
              <w:t xml:space="preserve">1.2. Relevance to the country/region/sector needs: How relevant is the proposal to the particular needs and constraints of the target country(ies), region(s) and/or relevant sectors (including synergy with other development initiatives and avoidance of duplication)? </w:t>
            </w:r>
          </w:p>
        </w:tc>
        <w:tc>
          <w:tcPr>
            <w:tcW w:w="1308" w:type="dxa"/>
            <w:tcBorders>
              <w:top w:val="single" w:sz="4" w:space="0" w:color="auto"/>
              <w:left w:val="single" w:sz="4" w:space="0" w:color="auto"/>
              <w:bottom w:val="single" w:sz="4" w:space="0" w:color="auto"/>
              <w:right w:val="single" w:sz="4" w:space="0" w:color="auto"/>
            </w:tcBorders>
            <w:hideMark/>
          </w:tcPr>
          <w:p w14:paraId="4646EC3B" w14:textId="77777777" w:rsidR="00A6547C" w:rsidRDefault="00A6547C" w:rsidP="00F36C74">
            <w:pPr>
              <w:snapToGrid w:val="0"/>
              <w:spacing w:after="120" w:line="240" w:lineRule="atLeast"/>
              <w:rPr>
                <w:szCs w:val="22"/>
                <w:u w:val="single"/>
              </w:rPr>
            </w:pPr>
            <w:r>
              <w:rPr>
                <w:noProof/>
                <w:szCs w:val="22"/>
              </w:rPr>
              <w:t>5</w:t>
            </w:r>
          </w:p>
        </w:tc>
      </w:tr>
      <w:tr w:rsidR="00A6547C" w14:paraId="31E3EE6E"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4AD8E931" w14:textId="77777777" w:rsidR="00A6547C" w:rsidRDefault="00A6547C" w:rsidP="00F36C74">
            <w:pPr>
              <w:snapToGrid w:val="0"/>
              <w:spacing w:after="120" w:line="240" w:lineRule="atLeast"/>
              <w:ind w:left="340" w:hanging="340"/>
              <w:rPr>
                <w:szCs w:val="22"/>
              </w:rPr>
            </w:pPr>
            <w:r>
              <w:rPr>
                <w:noProof/>
                <w:szCs w:val="22"/>
              </w:rPr>
              <w:lastRenderedPageBreak/>
              <w:t>1.3. Target groups and final beneficiaries: How clearly defined and strategically chosen are the target groups and final beneficiaries? Have their needs (as rights holders and/or duty bearers) and constraints been clearly defined? Does the proposal address them appropriately?</w:t>
            </w:r>
          </w:p>
        </w:tc>
        <w:tc>
          <w:tcPr>
            <w:tcW w:w="1308" w:type="dxa"/>
            <w:tcBorders>
              <w:top w:val="single" w:sz="4" w:space="0" w:color="auto"/>
              <w:left w:val="single" w:sz="4" w:space="0" w:color="auto"/>
              <w:bottom w:val="single" w:sz="4" w:space="0" w:color="auto"/>
              <w:right w:val="single" w:sz="4" w:space="0" w:color="auto"/>
            </w:tcBorders>
            <w:hideMark/>
          </w:tcPr>
          <w:p w14:paraId="7E76E2B3" w14:textId="77777777" w:rsidR="00A6547C" w:rsidRDefault="00A6547C" w:rsidP="00F36C74">
            <w:pPr>
              <w:snapToGrid w:val="0"/>
              <w:spacing w:after="120" w:line="240" w:lineRule="atLeast"/>
              <w:rPr>
                <w:szCs w:val="22"/>
                <w:u w:val="single"/>
              </w:rPr>
            </w:pPr>
            <w:r>
              <w:rPr>
                <w:noProof/>
                <w:szCs w:val="22"/>
              </w:rPr>
              <w:t>5</w:t>
            </w:r>
          </w:p>
        </w:tc>
      </w:tr>
      <w:tr w:rsidR="00A6547C" w14:paraId="4FA362E3"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103EC01D" w14:textId="77777777" w:rsidR="00A6547C" w:rsidRDefault="00A6547C" w:rsidP="00F36C74">
            <w:pPr>
              <w:snapToGrid w:val="0"/>
              <w:spacing w:after="120" w:line="240" w:lineRule="atLeast"/>
              <w:ind w:left="340" w:hanging="340"/>
              <w:rPr>
                <w:szCs w:val="22"/>
              </w:rPr>
            </w:pPr>
            <w:r>
              <w:rPr>
                <w:noProof/>
                <w:szCs w:val="22"/>
              </w:rPr>
              <w:t>1.4. Added value elements: Does the proposal contain particular added-value elements (e.g. innovation, best practices)? [and the other additional elements indicated under 1.2. of the guidelines for applicants]</w:t>
            </w:r>
          </w:p>
        </w:tc>
        <w:tc>
          <w:tcPr>
            <w:tcW w:w="1308" w:type="dxa"/>
            <w:tcBorders>
              <w:top w:val="single" w:sz="4" w:space="0" w:color="auto"/>
              <w:left w:val="single" w:sz="4" w:space="0" w:color="auto"/>
              <w:bottom w:val="single" w:sz="4" w:space="0" w:color="auto"/>
              <w:right w:val="single" w:sz="4" w:space="0" w:color="auto"/>
            </w:tcBorders>
            <w:hideMark/>
          </w:tcPr>
          <w:p w14:paraId="525CDD52" w14:textId="77777777" w:rsidR="00A6547C" w:rsidRDefault="00A6547C" w:rsidP="00F36C74">
            <w:pPr>
              <w:snapToGrid w:val="0"/>
              <w:spacing w:after="120" w:line="240" w:lineRule="atLeast"/>
              <w:rPr>
                <w:szCs w:val="22"/>
                <w:u w:val="single"/>
              </w:rPr>
            </w:pPr>
            <w:r>
              <w:rPr>
                <w:noProof/>
                <w:szCs w:val="22"/>
              </w:rPr>
              <w:t>5</w:t>
            </w:r>
          </w:p>
        </w:tc>
      </w:tr>
      <w:tr w:rsidR="00A6547C" w14:paraId="792E6862" w14:textId="77777777" w:rsidTr="00DF6F65">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157EF9" w14:textId="77777777" w:rsidR="00A6547C" w:rsidRDefault="00A6547C" w:rsidP="00F36C74">
            <w:pPr>
              <w:snapToGrid w:val="0"/>
              <w:spacing w:after="120" w:line="240" w:lineRule="atLeast"/>
              <w:jc w:val="left"/>
              <w:rPr>
                <w:b/>
                <w:szCs w:val="22"/>
              </w:rPr>
            </w:pPr>
            <w:r>
              <w:rPr>
                <w:b/>
                <w:szCs w:val="22"/>
              </w:rPr>
              <w:t xml:space="preserve">2. </w:t>
            </w:r>
            <w:r>
              <w:rPr>
                <w:b/>
                <w:noProof/>
                <w:szCs w:val="22"/>
              </w:rPr>
              <w:t>Design of the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35B4EE80" w14:textId="77777777" w:rsidR="00A6547C" w:rsidRDefault="00A6547C" w:rsidP="00F36C74">
            <w:pPr>
              <w:snapToGrid w:val="0"/>
              <w:spacing w:after="120" w:line="240" w:lineRule="atLeast"/>
              <w:rPr>
                <w:b/>
                <w:szCs w:val="22"/>
              </w:rPr>
            </w:pPr>
            <w:r>
              <w:rPr>
                <w:b/>
                <w:bCs/>
                <w:noProof/>
                <w:szCs w:val="22"/>
              </w:rPr>
              <w:t>30</w:t>
            </w:r>
          </w:p>
        </w:tc>
      </w:tr>
      <w:tr w:rsidR="00A6547C" w14:paraId="7629BFC2"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0467672C" w14:textId="77777777" w:rsidR="00A6547C" w:rsidRDefault="00A6547C" w:rsidP="00F36C74">
            <w:pPr>
              <w:snapToGrid w:val="0"/>
              <w:spacing w:after="120" w:line="240" w:lineRule="atLeast"/>
              <w:rPr>
                <w:szCs w:val="22"/>
              </w:rPr>
            </w:pPr>
            <w:r>
              <w:rPr>
                <w:noProof/>
                <w:szCs w:val="22"/>
              </w:rPr>
              <w:t>2.1. Intervention logic. Does the proposal indicate the expected results (outputs/outcomes/impacts) to be achieved by the action? Does the design of the proposed action identify explicitly the necessary sequence to achieve the desired objectives beginning with inputs, moving through activities and outputs, and culminating in outcomes and impacts?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0DEDC84C" w14:textId="77777777" w:rsidR="00A6547C" w:rsidRDefault="00A6547C" w:rsidP="00F36C74">
            <w:pPr>
              <w:snapToGrid w:val="0"/>
              <w:spacing w:after="120" w:line="240" w:lineRule="atLeast"/>
              <w:rPr>
                <w:szCs w:val="22"/>
                <w:u w:val="single"/>
              </w:rPr>
            </w:pPr>
            <w:r>
              <w:rPr>
                <w:noProof/>
                <w:szCs w:val="22"/>
              </w:rPr>
              <w:t>5x2**</w:t>
            </w:r>
          </w:p>
        </w:tc>
      </w:tr>
      <w:tr w:rsidR="00A6547C" w14:paraId="671AD8B9"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3AAE5F80" w14:textId="77777777" w:rsidR="00A6547C" w:rsidRDefault="00A6547C" w:rsidP="00F36C74">
            <w:pPr>
              <w:snapToGrid w:val="0"/>
              <w:spacing w:after="120" w:line="240" w:lineRule="atLeast"/>
              <w:rPr>
                <w:szCs w:val="22"/>
              </w:rPr>
            </w:pPr>
            <w:r>
              <w:rPr>
                <w:noProof/>
                <w:szCs w:val="22"/>
              </w:rPr>
              <w:t>2.2. Context analysis. Does the design of the action include a robust analysis of the needs to be addressed, including the capacities of the relevant stakeholders? Are those also embedded adequately in the intervention logic?</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4E928C3D" w14:textId="77777777" w:rsidR="00A6547C" w:rsidRDefault="00A6547C" w:rsidP="00F36C74">
            <w:pPr>
              <w:snapToGrid w:val="0"/>
              <w:spacing w:after="120" w:line="240" w:lineRule="atLeast"/>
              <w:rPr>
                <w:szCs w:val="22"/>
                <w:u w:val="single"/>
              </w:rPr>
            </w:pPr>
            <w:r>
              <w:rPr>
                <w:noProof/>
                <w:szCs w:val="22"/>
              </w:rPr>
              <w:t>5</w:t>
            </w:r>
          </w:p>
        </w:tc>
      </w:tr>
      <w:tr w:rsidR="00A6547C" w14:paraId="49F22A27"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0BF925E0" w14:textId="77777777" w:rsidR="00A6547C" w:rsidRDefault="00A6547C" w:rsidP="00F36C74">
            <w:pPr>
              <w:snapToGrid w:val="0"/>
              <w:spacing w:after="120" w:line="240" w:lineRule="atLeast"/>
              <w:rPr>
                <w:szCs w:val="22"/>
              </w:rPr>
            </w:pPr>
            <w:r>
              <w:rPr>
                <w:noProof/>
                <w:szCs w:val="22"/>
              </w:rPr>
              <w:t>2.3. Risks and assumptions. Is the design based on clear assumptions (the necessary and positive conditions that allow for a successful cause-and-effect relationship between different levels of results)? Does it take into account also risks (the factors that might hinder the achievement of results)?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702EAEBB" w14:textId="77777777" w:rsidR="00A6547C" w:rsidRDefault="00A6547C" w:rsidP="00F36C74">
            <w:pPr>
              <w:snapToGrid w:val="0"/>
              <w:spacing w:after="120" w:line="240" w:lineRule="atLeast"/>
              <w:rPr>
                <w:szCs w:val="22"/>
                <w:u w:val="single"/>
              </w:rPr>
            </w:pPr>
            <w:r>
              <w:rPr>
                <w:noProof/>
                <w:szCs w:val="22"/>
              </w:rPr>
              <w:t>5</w:t>
            </w:r>
          </w:p>
        </w:tc>
      </w:tr>
      <w:tr w:rsidR="00A6547C" w14:paraId="1277F983"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6A47FB7F" w14:textId="77777777" w:rsidR="00A6547C" w:rsidRDefault="00A6547C" w:rsidP="00F36C74">
            <w:pPr>
              <w:snapToGrid w:val="0"/>
              <w:spacing w:after="120" w:line="240" w:lineRule="atLeast"/>
              <w:rPr>
                <w:szCs w:val="22"/>
              </w:rPr>
            </w:pPr>
            <w:r>
              <w:rPr>
                <w:noProof/>
                <w:szCs w:val="22"/>
              </w:rPr>
              <w:t>2.4. Indicative Activities. Is the indicative list of activities linked to and consistent with the expected outputs?</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66883577" w14:textId="77777777" w:rsidR="00A6547C" w:rsidRDefault="00A6547C" w:rsidP="00F36C74">
            <w:pPr>
              <w:snapToGrid w:val="0"/>
              <w:spacing w:after="120" w:line="240" w:lineRule="atLeast"/>
              <w:rPr>
                <w:szCs w:val="22"/>
                <w:u w:val="single"/>
              </w:rPr>
            </w:pPr>
            <w:r>
              <w:rPr>
                <w:noProof/>
                <w:szCs w:val="22"/>
              </w:rPr>
              <w:t>5</w:t>
            </w:r>
          </w:p>
        </w:tc>
      </w:tr>
      <w:tr w:rsidR="00A6547C" w14:paraId="3C787580"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1FABE3EB" w14:textId="77777777" w:rsidR="00A6547C" w:rsidRDefault="00A6547C" w:rsidP="00F36C74">
            <w:pPr>
              <w:snapToGrid w:val="0"/>
              <w:spacing w:after="120" w:line="240" w:lineRule="atLeast"/>
              <w:rPr>
                <w:szCs w:val="22"/>
              </w:rPr>
            </w:pPr>
            <w:r>
              <w:rPr>
                <w:noProof/>
                <w:szCs w:val="22"/>
              </w:rPr>
              <w:t xml:space="preserve">2.5. Cross-cutting issues: 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 </w:t>
            </w:r>
            <w:r>
              <w:rPr>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2053733C" w14:textId="77777777" w:rsidR="00A6547C" w:rsidRDefault="00A6547C" w:rsidP="00F36C74">
            <w:pPr>
              <w:snapToGrid w:val="0"/>
              <w:spacing w:after="120" w:line="240" w:lineRule="atLeast"/>
              <w:rPr>
                <w:szCs w:val="22"/>
                <w:u w:val="single"/>
              </w:rPr>
            </w:pPr>
            <w:r>
              <w:rPr>
                <w:noProof/>
                <w:szCs w:val="22"/>
              </w:rPr>
              <w:t>5</w:t>
            </w:r>
          </w:p>
        </w:tc>
      </w:tr>
      <w:tr w:rsidR="00A6547C" w14:paraId="1228AD78" w14:textId="77777777" w:rsidTr="00A6547C">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14:paraId="74408BE2" w14:textId="77777777" w:rsidR="00A6547C" w:rsidRPr="008F32AC" w:rsidRDefault="00A6547C" w:rsidP="00F36C74">
            <w:pPr>
              <w:spacing w:after="120" w:line="240" w:lineRule="atLeast"/>
              <w:jc w:val="left"/>
              <w:rPr>
                <w:szCs w:val="22"/>
              </w:rPr>
            </w:pPr>
            <w:r w:rsidRPr="00F75093">
              <w:rPr>
                <w:b/>
                <w:szCs w:val="22"/>
              </w:rPr>
              <w:t>Maximum total score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14:paraId="6B435BE1" w14:textId="77777777" w:rsidR="00A6547C" w:rsidRPr="008F32AC" w:rsidRDefault="00A6547C" w:rsidP="00F36C74">
            <w:pPr>
              <w:keepNext/>
              <w:spacing w:after="120" w:line="240" w:lineRule="atLeast"/>
              <w:jc w:val="center"/>
              <w:rPr>
                <w:szCs w:val="22"/>
              </w:rPr>
            </w:pPr>
            <w:r w:rsidRPr="008F32AC">
              <w:rPr>
                <w:b/>
                <w:noProof/>
                <w:szCs w:val="22"/>
              </w:rPr>
              <w:t>50</w:t>
            </w:r>
          </w:p>
        </w:tc>
      </w:tr>
    </w:tbl>
    <w:p w14:paraId="3D938945" w14:textId="77777777" w:rsidR="005240D9" w:rsidRDefault="005B7EA6" w:rsidP="00F36C74">
      <w:pPr>
        <w:pStyle w:val="Beschriftung"/>
        <w:spacing w:after="120" w:line="240" w:lineRule="atLeast"/>
        <w:rPr>
          <w:highlight w:val="yellow"/>
        </w:rPr>
      </w:pPr>
      <w:r w:rsidRPr="005B7EA6">
        <w:t>**: this score is multiplied by 2 because of its importance</w:t>
      </w:r>
    </w:p>
    <w:p w14:paraId="6005EA24" w14:textId="7A1314B6" w:rsidR="00682B40" w:rsidRPr="00807DAF" w:rsidRDefault="00682B40" w:rsidP="00F36C74">
      <w:pPr>
        <w:spacing w:after="120" w:line="240" w:lineRule="atLeast"/>
      </w:pPr>
      <w:r w:rsidRPr="00B124A8">
        <w:t xml:space="preserve">Note: </w:t>
      </w:r>
      <w:r w:rsidRPr="00B124A8">
        <w:rPr>
          <w:lang w:eastAsia="en-GB"/>
        </w:rPr>
        <w:t xml:space="preserve">A score of 5 (very good) will only be allocated if the proposal specifically addresses </w:t>
      </w:r>
      <w:r w:rsidR="00DA485E" w:rsidRPr="00B124A8">
        <w:rPr>
          <w:bCs/>
          <w:lang w:eastAsia="en-GB"/>
        </w:rPr>
        <w:t xml:space="preserve">several </w:t>
      </w:r>
      <w:r w:rsidRPr="00B124A8">
        <w:rPr>
          <w:bCs/>
          <w:lang w:eastAsia="en-GB"/>
        </w:rPr>
        <w:t xml:space="preserve">of </w:t>
      </w:r>
      <w:r w:rsidR="00DA485E" w:rsidRPr="00B124A8">
        <w:rPr>
          <w:bCs/>
          <w:lang w:eastAsia="en-GB"/>
        </w:rPr>
        <w:t xml:space="preserve">the </w:t>
      </w:r>
      <w:r w:rsidRPr="00B124A8">
        <w:rPr>
          <w:bCs/>
          <w:lang w:eastAsia="en-GB"/>
        </w:rPr>
        <w:t xml:space="preserve">priorities indicated in </w:t>
      </w:r>
      <w:r w:rsidR="00896ECA" w:rsidRPr="00B124A8">
        <w:rPr>
          <w:bCs/>
          <w:lang w:eastAsia="en-GB"/>
        </w:rPr>
        <w:t>Section</w:t>
      </w:r>
      <w:r w:rsidRPr="00B124A8">
        <w:rPr>
          <w:bCs/>
          <w:lang w:eastAsia="en-GB"/>
        </w:rPr>
        <w:t xml:space="preserve"> 1.2 (</w:t>
      </w:r>
      <w:r w:rsidR="00B114D9" w:rsidRPr="00B124A8">
        <w:rPr>
          <w:bCs/>
          <w:lang w:eastAsia="en-GB"/>
        </w:rPr>
        <w:t>o</w:t>
      </w:r>
      <w:r w:rsidRPr="00B124A8">
        <w:rPr>
          <w:bCs/>
          <w:lang w:eastAsia="en-GB"/>
        </w:rPr>
        <w:t xml:space="preserve">bjectives of the programme) </w:t>
      </w:r>
      <w:r w:rsidR="00872184" w:rsidRPr="00B124A8">
        <w:rPr>
          <w:bCs/>
          <w:lang w:eastAsia="en-GB"/>
        </w:rPr>
        <w:t xml:space="preserve">and </w:t>
      </w:r>
      <w:r w:rsidR="006E20CF" w:rsidRPr="00B124A8">
        <w:rPr>
          <w:bCs/>
          <w:lang w:eastAsia="en-GB"/>
        </w:rPr>
        <w:t xml:space="preserve">Section 2.1.3 (eligible actions) </w:t>
      </w:r>
      <w:r w:rsidRPr="00B124A8">
        <w:rPr>
          <w:bCs/>
          <w:lang w:eastAsia="en-GB"/>
        </w:rPr>
        <w:t>of</w:t>
      </w:r>
      <w:r w:rsidR="00790B79" w:rsidRPr="00B124A8">
        <w:rPr>
          <w:bCs/>
          <w:lang w:eastAsia="en-GB"/>
        </w:rPr>
        <w:t xml:space="preserve"> the</w:t>
      </w:r>
      <w:r w:rsidR="000636F3" w:rsidRPr="00B124A8">
        <w:rPr>
          <w:bCs/>
          <w:lang w:eastAsia="en-GB"/>
        </w:rPr>
        <w:t>se g</w:t>
      </w:r>
      <w:r w:rsidRPr="00B124A8">
        <w:rPr>
          <w:bCs/>
          <w:lang w:eastAsia="en-GB"/>
        </w:rPr>
        <w:t>uidelines</w:t>
      </w:r>
      <w:r w:rsidRPr="00B124A8">
        <w:t>.</w:t>
      </w:r>
    </w:p>
    <w:p w14:paraId="5DF44B41" w14:textId="77777777" w:rsidR="00400B42" w:rsidRPr="00807DAF" w:rsidRDefault="00400B42" w:rsidP="00F36C74">
      <w:pPr>
        <w:spacing w:after="120" w:line="240" w:lineRule="atLeast"/>
      </w:pPr>
      <w:r w:rsidRPr="00807DAF">
        <w:t xml:space="preserve">Once all </w:t>
      </w:r>
      <w:r w:rsidR="00717ADB">
        <w:t>c</w:t>
      </w:r>
      <w:r w:rsidRPr="00807DAF">
        <w:t xml:space="preserve">oncept </w:t>
      </w:r>
      <w:r w:rsidR="00717ADB">
        <w:t>n</w:t>
      </w:r>
      <w:r w:rsidRPr="00807DAF">
        <w:t xml:space="preserve">otes have been assessed, a list will be </w:t>
      </w:r>
      <w:r w:rsidR="00C85211" w:rsidRPr="00807DAF">
        <w:t xml:space="preserve">drawn up </w:t>
      </w:r>
      <w:r w:rsidRPr="00807DAF">
        <w:t xml:space="preserve">with the proposed actions ranked according to their total score. </w:t>
      </w:r>
    </w:p>
    <w:p w14:paraId="7FF7F731" w14:textId="275FF91B" w:rsidR="00400B42" w:rsidRPr="00807DAF" w:rsidRDefault="001A4F8E" w:rsidP="00F36C74">
      <w:pPr>
        <w:spacing w:after="120" w:line="240" w:lineRule="atLeast"/>
      </w:pPr>
      <w:r w:rsidRPr="00807DAF">
        <w:t>First</w:t>
      </w:r>
      <w:r w:rsidR="00F90A41" w:rsidRPr="00807DAF">
        <w:t>ly</w:t>
      </w:r>
      <w:r w:rsidR="008F021C" w:rsidRPr="00807DAF">
        <w:t xml:space="preserve">, </w:t>
      </w:r>
      <w:r w:rsidR="0074095C" w:rsidRPr="00807DAF">
        <w:t>o</w:t>
      </w:r>
      <w:r w:rsidR="00400B42" w:rsidRPr="00807DAF">
        <w:t xml:space="preserve">nly the </w:t>
      </w:r>
      <w:r w:rsidR="00717ADB">
        <w:t>c</w:t>
      </w:r>
      <w:r w:rsidR="00400B42" w:rsidRPr="00807DAF">
        <w:t xml:space="preserve">oncept </w:t>
      </w:r>
      <w:r w:rsidR="00717ADB">
        <w:t>n</w:t>
      </w:r>
      <w:r w:rsidR="00400B42" w:rsidRPr="00807DAF">
        <w:t xml:space="preserve">otes </w:t>
      </w:r>
      <w:r w:rsidR="00C85211" w:rsidRPr="00807DAF">
        <w:t>with</w:t>
      </w:r>
      <w:r w:rsidR="00400B42" w:rsidRPr="00807DAF">
        <w:t xml:space="preserve"> a score of a</w:t>
      </w:r>
      <w:r w:rsidR="00C85211" w:rsidRPr="00807DAF">
        <w:t xml:space="preserve">t </w:t>
      </w:r>
      <w:r w:rsidR="00C85211" w:rsidRPr="004D457A">
        <w:t>least</w:t>
      </w:r>
      <w:r w:rsidR="00682B40" w:rsidRPr="004D457A">
        <w:t xml:space="preserve"> </w:t>
      </w:r>
      <w:r w:rsidR="00B354E0" w:rsidRPr="004D457A">
        <w:t xml:space="preserve">30 points </w:t>
      </w:r>
      <w:r w:rsidR="00400B42" w:rsidRPr="004D457A">
        <w:t>will</w:t>
      </w:r>
      <w:r w:rsidR="00400B42" w:rsidRPr="00807DAF">
        <w:t xml:space="preserve"> be considered for pre-selection. </w:t>
      </w:r>
    </w:p>
    <w:p w14:paraId="66D3194C" w14:textId="77777777" w:rsidR="00806B63" w:rsidRPr="00807DAF" w:rsidRDefault="00806B63" w:rsidP="00F36C74">
      <w:pPr>
        <w:spacing w:after="120" w:line="240" w:lineRule="atLeast"/>
      </w:pPr>
      <w:r w:rsidRPr="00807DAF">
        <w:t xml:space="preserve">Secondly, the number of </w:t>
      </w:r>
      <w:r w:rsidR="00717ADB">
        <w:t>c</w:t>
      </w:r>
      <w:r w:rsidRPr="00807DAF">
        <w:t xml:space="preserve">oncept </w:t>
      </w:r>
      <w:r w:rsidR="00717ADB">
        <w:t>n</w:t>
      </w:r>
      <w:r w:rsidRPr="00807DAF">
        <w:t xml:space="preserve">otes will be reduced, taking account of the ranking, to the number of </w:t>
      </w:r>
      <w:proofErr w:type="gramStart"/>
      <w:r w:rsidR="00717ADB">
        <w:t>c</w:t>
      </w:r>
      <w:r w:rsidRPr="00807DAF">
        <w:t>oncept</w:t>
      </w:r>
      <w:proofErr w:type="gramEnd"/>
      <w:r w:rsidRPr="00807DAF">
        <w:t xml:space="preserve"> </w:t>
      </w:r>
      <w:r w:rsidR="00717ADB">
        <w:t>n</w:t>
      </w:r>
      <w:r w:rsidRPr="00807DAF">
        <w:t xml:space="preserve">otes whose total aggregate amount of requested contributions is equal to </w:t>
      </w:r>
      <w:r w:rsidRPr="00EF03C9">
        <w:t>at least 200%</w:t>
      </w:r>
      <w:r w:rsidRPr="00807DAF">
        <w:t xml:space="preserve"> of the available budget for this </w:t>
      </w:r>
      <w:r w:rsidR="00717ADB">
        <w:t>c</w:t>
      </w:r>
      <w:r w:rsidRPr="00807DAF">
        <w:t xml:space="preserve">all for </w:t>
      </w:r>
      <w:r w:rsidR="00717ADB">
        <w:t>p</w:t>
      </w:r>
      <w:r w:rsidRPr="00807DAF">
        <w:t xml:space="preserve">roposals. The </w:t>
      </w:r>
      <w:proofErr w:type="gramStart"/>
      <w:r w:rsidRPr="00807DAF">
        <w:t>amount</w:t>
      </w:r>
      <w:proofErr w:type="gramEnd"/>
      <w:r w:rsidRPr="00807DAF">
        <w:t xml:space="preserve"> of requested contributions of each concept note will be based on the indicative financial envelopes for each lot</w:t>
      </w:r>
      <w:r w:rsidR="00B114D9">
        <w:t>, where relevant</w:t>
      </w:r>
      <w:r w:rsidRPr="00807DAF">
        <w:t>.</w:t>
      </w:r>
    </w:p>
    <w:p w14:paraId="4B7E543F" w14:textId="77777777" w:rsidR="004458CA" w:rsidRPr="00BC4288" w:rsidRDefault="004458CA" w:rsidP="00F36C74">
      <w:pPr>
        <w:spacing w:after="120" w:line="240" w:lineRule="atLeast"/>
      </w:pPr>
      <w:r>
        <w:t>Lead a</w:t>
      </w:r>
      <w:r w:rsidRPr="00807DAF">
        <w:t xml:space="preserve">pplicants </w:t>
      </w:r>
      <w:r>
        <w:t xml:space="preserve">will receive a letter </w:t>
      </w:r>
      <w:r w:rsidRPr="00807DAF">
        <w:t xml:space="preserve">indicating </w:t>
      </w:r>
      <w:r>
        <w:t xml:space="preserve">the reference number of their application and the respective results. </w:t>
      </w:r>
      <w:r w:rsidRPr="00FE05D4">
        <w:t>Th</w:t>
      </w:r>
      <w:r>
        <w:t>is</w:t>
      </w:r>
      <w:r w:rsidRPr="00FE05D4">
        <w:t xml:space="preserve"> letter will automatically appear online in the PROSPECT profile of the</w:t>
      </w:r>
      <w:r>
        <w:t xml:space="preserve"> lead a</w:t>
      </w:r>
      <w:r w:rsidRPr="00FE05D4">
        <w:t>pplicant.</w:t>
      </w:r>
      <w:r w:rsidR="005638D7">
        <w:t xml:space="preserve"> </w:t>
      </w:r>
    </w:p>
    <w:p w14:paraId="4872D458" w14:textId="77777777" w:rsidR="00400B42" w:rsidRDefault="004458CA" w:rsidP="00F36C74">
      <w:pPr>
        <w:spacing w:after="120" w:line="240" w:lineRule="atLeast"/>
      </w:pPr>
      <w:r w:rsidRPr="00FE05D4">
        <w:t xml:space="preserve">The pre-selected </w:t>
      </w:r>
      <w:r>
        <w:t>lead a</w:t>
      </w:r>
      <w:r w:rsidRPr="00FE05D4">
        <w:t>pplicants will subsequently be invited to submit full applications</w:t>
      </w:r>
      <w:r w:rsidRPr="00BC4288">
        <w:t>.</w:t>
      </w:r>
    </w:p>
    <w:p w14:paraId="78491D8A" w14:textId="77777777" w:rsidR="0000050E" w:rsidRPr="0000050E" w:rsidRDefault="0000050E" w:rsidP="00EA610C">
      <w:pPr>
        <w:pStyle w:val="Guidelines3"/>
        <w:numPr>
          <w:ilvl w:val="2"/>
          <w:numId w:val="6"/>
        </w:numPr>
      </w:pPr>
      <w:bookmarkStart w:id="88" w:name="_Toc185257688"/>
      <w:r w:rsidRPr="001B7D50">
        <w:t>STEP 2: EVALUATION OF THE FULL APPLICATION</w:t>
      </w:r>
      <w:bookmarkEnd w:id="88"/>
    </w:p>
    <w:p w14:paraId="27FF34B7" w14:textId="77777777" w:rsidR="00047C7D" w:rsidRPr="00807DAF" w:rsidRDefault="00047C7D" w:rsidP="001B7D50">
      <w:pPr>
        <w:spacing w:after="120" w:line="240" w:lineRule="atLeast"/>
        <w:jc w:val="left"/>
      </w:pPr>
      <w:r w:rsidRPr="00807DAF">
        <w:rPr>
          <w:szCs w:val="24"/>
        </w:rPr>
        <w:t>First</w:t>
      </w:r>
      <w:r w:rsidR="00C4575C" w:rsidRPr="00807DAF">
        <w:rPr>
          <w:szCs w:val="24"/>
        </w:rPr>
        <w:t>ly</w:t>
      </w:r>
      <w:r w:rsidRPr="00807DAF">
        <w:rPr>
          <w:szCs w:val="24"/>
        </w:rPr>
        <w:t xml:space="preserve">, </w:t>
      </w:r>
      <w:r w:rsidRPr="00807DAF">
        <w:t>the following will be assessed:</w:t>
      </w:r>
    </w:p>
    <w:p w14:paraId="04961472" w14:textId="77777777" w:rsidR="00047C7D" w:rsidRPr="00BA6979" w:rsidRDefault="00606AF7" w:rsidP="00EA610C">
      <w:pPr>
        <w:numPr>
          <w:ilvl w:val="0"/>
          <w:numId w:val="15"/>
        </w:numPr>
        <w:spacing w:after="120" w:line="240" w:lineRule="atLeast"/>
      </w:pPr>
      <w:r w:rsidRPr="00BA6979">
        <w:t xml:space="preserve">If the </w:t>
      </w:r>
      <w:r w:rsidR="00047C7D" w:rsidRPr="00BA6979">
        <w:t>submission deadline</w:t>
      </w:r>
      <w:r w:rsidRPr="00BA6979">
        <w:t xml:space="preserve"> has been met</w:t>
      </w:r>
      <w:r w:rsidR="00047C7D" w:rsidRPr="00BA6979">
        <w:t xml:space="preserve">. </w:t>
      </w:r>
      <w:r w:rsidRPr="00BA6979">
        <w:t>Otherwise</w:t>
      </w:r>
      <w:r w:rsidR="00F149E4" w:rsidRPr="00BA6979">
        <w:t xml:space="preserve">, </w:t>
      </w:r>
      <w:r w:rsidR="00047C7D" w:rsidRPr="00BA6979">
        <w:t xml:space="preserve">the application </w:t>
      </w:r>
      <w:r w:rsidR="00E97E2D" w:rsidRPr="00BA6979">
        <w:t>will automatically be rejected.</w:t>
      </w:r>
    </w:p>
    <w:p w14:paraId="0C9B033A" w14:textId="77777777" w:rsidR="00047C7D" w:rsidRPr="00807DAF" w:rsidRDefault="00606AF7" w:rsidP="00EA610C">
      <w:pPr>
        <w:numPr>
          <w:ilvl w:val="0"/>
          <w:numId w:val="15"/>
        </w:numPr>
        <w:spacing w:after="120" w:line="240" w:lineRule="atLeast"/>
      </w:pPr>
      <w:r>
        <w:t>If t</w:t>
      </w:r>
      <w:r w:rsidR="00047C7D" w:rsidRPr="00807DAF">
        <w:t>he full application satisfies all the criteria</w:t>
      </w:r>
      <w:r>
        <w:t xml:space="preserve"> </w:t>
      </w:r>
      <w:r w:rsidR="00047C7D" w:rsidRPr="00807DAF">
        <w:t xml:space="preserve">specified in the </w:t>
      </w:r>
      <w:r w:rsidR="0092399A">
        <w:t>c</w:t>
      </w:r>
      <w:r w:rsidR="00047C7D" w:rsidRPr="00807DAF">
        <w:t>hecklist (</w:t>
      </w:r>
      <w:r w:rsidR="00F43773">
        <w:t>Annex A.2, Instructions</w:t>
      </w:r>
      <w:r w:rsidR="00047C7D" w:rsidRPr="00807DAF">
        <w:t xml:space="preserve">). </w:t>
      </w:r>
      <w:r w:rsidR="0092399A">
        <w:t xml:space="preserve">This includes also an assessment of the eligibility of the action. </w:t>
      </w:r>
      <w:r w:rsidR="00047C7D" w:rsidRPr="00807DAF">
        <w:t xml:space="preserve">If any of the requested information is missing or is incorrect, the application may be rejected on that </w:t>
      </w:r>
      <w:r w:rsidR="00047C7D" w:rsidRPr="00807DAF">
        <w:rPr>
          <w:b/>
          <w:u w:val="single"/>
        </w:rPr>
        <w:t>sole</w:t>
      </w:r>
      <w:r w:rsidR="00047C7D" w:rsidRPr="00807DAF">
        <w:t xml:space="preserve"> basis and the application will not be evaluated further.</w:t>
      </w:r>
    </w:p>
    <w:p w14:paraId="31D7892F" w14:textId="77777777" w:rsidR="0007408E" w:rsidRPr="00807DAF" w:rsidRDefault="0086780C" w:rsidP="00F36C74">
      <w:pPr>
        <w:spacing w:after="120" w:line="240" w:lineRule="atLeast"/>
      </w:pPr>
      <w:r w:rsidRPr="00807DAF">
        <w:lastRenderedPageBreak/>
        <w:t xml:space="preserve">The </w:t>
      </w:r>
      <w:r>
        <w:t>full applications</w:t>
      </w:r>
      <w:r w:rsidRPr="00807DAF">
        <w:t xml:space="preserve"> that pass </w:t>
      </w:r>
      <w:r>
        <w:t>this</w:t>
      </w:r>
      <w:r w:rsidRPr="00807DAF">
        <w:t xml:space="preserve"> check will be </w:t>
      </w:r>
      <w:r>
        <w:t xml:space="preserve">further </w:t>
      </w:r>
      <w:r w:rsidRPr="00807DAF">
        <w:t>evaluated</w:t>
      </w:r>
      <w:r>
        <w:t xml:space="preserve"> on their</w:t>
      </w:r>
      <w:r w:rsidRPr="00807DAF">
        <w:t xml:space="preserve"> quality</w:t>
      </w:r>
      <w:r w:rsidR="00047C7D" w:rsidRPr="00807DAF">
        <w:t>, including the proposed budget and capacity of the applicant</w:t>
      </w:r>
      <w:r w:rsidR="000D40CC" w:rsidRPr="00807DAF">
        <w:t>s</w:t>
      </w:r>
      <w:r w:rsidR="00047C7D" w:rsidRPr="00807DAF">
        <w:t xml:space="preserve"> and </w:t>
      </w:r>
      <w:r w:rsidR="000D40CC" w:rsidRPr="00807DAF">
        <w:t>affiliated entity(</w:t>
      </w:r>
      <w:proofErr w:type="spellStart"/>
      <w:r w:rsidR="000D40CC" w:rsidRPr="00807DAF">
        <w:t>ies</w:t>
      </w:r>
      <w:proofErr w:type="spellEnd"/>
      <w:r w:rsidR="000D40CC" w:rsidRPr="00807DAF">
        <w:t>)</w:t>
      </w:r>
      <w:r w:rsidR="00606AF7">
        <w:t>. They</w:t>
      </w:r>
      <w:r w:rsidR="00047C7D" w:rsidRPr="00807DAF">
        <w:t xml:space="preserve"> will be </w:t>
      </w:r>
      <w:r w:rsidR="00F149E4" w:rsidRPr="00807DAF">
        <w:t>evaluated using</w:t>
      </w:r>
      <w:r w:rsidR="00047C7D" w:rsidRPr="00807DAF">
        <w:t xml:space="preserve"> the evaluation criteria in the </w:t>
      </w:r>
      <w:r w:rsidR="00F149E4" w:rsidRPr="00807DAF">
        <w:t>e</w:t>
      </w:r>
      <w:r w:rsidR="00047C7D" w:rsidRPr="00807DAF">
        <w:t xml:space="preserve">valuation </w:t>
      </w:r>
      <w:r w:rsidR="00F149E4" w:rsidRPr="00807DAF">
        <w:t>g</w:t>
      </w:r>
      <w:r w:rsidR="00047C7D" w:rsidRPr="00807DAF">
        <w:t>rid below. There are two types of evaluation criteria: selection and award criteria.</w:t>
      </w:r>
    </w:p>
    <w:p w14:paraId="34B6A3FF" w14:textId="77777777" w:rsidR="0007408E" w:rsidRPr="00807DAF" w:rsidRDefault="0007408E" w:rsidP="00F36C74">
      <w:pPr>
        <w:spacing w:after="120" w:line="240" w:lineRule="atLeast"/>
      </w:pPr>
      <w:r w:rsidRPr="00807DAF">
        <w:rPr>
          <w:b/>
          <w:u w:val="single"/>
        </w:rPr>
        <w:t>The selection criteria</w:t>
      </w:r>
      <w:r w:rsidRPr="00807DAF">
        <w:t xml:space="preserve"> help </w:t>
      </w:r>
      <w:r w:rsidR="00A66639" w:rsidRPr="00807DAF">
        <w:t xml:space="preserve">to </w:t>
      </w:r>
      <w:r w:rsidRPr="00807DAF">
        <w:t>evaluate the applicant</w:t>
      </w:r>
      <w:r w:rsidR="00E94856" w:rsidRPr="00807DAF">
        <w:t>(s)</w:t>
      </w:r>
      <w:r w:rsidR="00544E5D" w:rsidRPr="00807DAF">
        <w:t>'s</w:t>
      </w:r>
      <w:r w:rsidR="00FA2479" w:rsidRPr="00807DAF">
        <w:t xml:space="preserve"> and affiliated en</w:t>
      </w:r>
      <w:r w:rsidR="00A8066A" w:rsidRPr="00807DAF">
        <w:t>t</w:t>
      </w:r>
      <w:r w:rsidR="00FA2479" w:rsidRPr="00807DAF">
        <w:t>ity(</w:t>
      </w:r>
      <w:proofErr w:type="spellStart"/>
      <w:r w:rsidR="00FA2479" w:rsidRPr="00807DAF">
        <w:t>ies</w:t>
      </w:r>
      <w:proofErr w:type="spellEnd"/>
      <w:r w:rsidR="00FA2479" w:rsidRPr="00807DAF">
        <w:t>)</w:t>
      </w:r>
      <w:r w:rsidR="003664DD" w:rsidRPr="00807DAF">
        <w:t>'s</w:t>
      </w:r>
      <w:r w:rsidRPr="00807DAF">
        <w:t xml:space="preserve"> operational capacity</w:t>
      </w:r>
      <w:r w:rsidR="000C1624" w:rsidRPr="00807DAF">
        <w:t xml:space="preserve"> and the </w:t>
      </w:r>
      <w:r w:rsidR="00504963">
        <w:t>lead a</w:t>
      </w:r>
      <w:r w:rsidR="000C1624" w:rsidRPr="00807DAF">
        <w:t>pplicant</w:t>
      </w:r>
      <w:r w:rsidR="00544E5D" w:rsidRPr="00807DAF">
        <w:t>'s</w:t>
      </w:r>
      <w:r w:rsidR="000C1624" w:rsidRPr="00807DAF">
        <w:t xml:space="preserve"> financial capacity and </w:t>
      </w:r>
      <w:r w:rsidR="0086780C">
        <w:t xml:space="preserve">are used to verify </w:t>
      </w:r>
      <w:r w:rsidRPr="00807DAF">
        <w:t>that they:</w:t>
      </w:r>
    </w:p>
    <w:p w14:paraId="5DBE31E5" w14:textId="77777777" w:rsidR="0007408E" w:rsidRPr="00807DAF" w:rsidRDefault="0007408E" w:rsidP="00EA610C">
      <w:pPr>
        <w:numPr>
          <w:ilvl w:val="0"/>
          <w:numId w:val="16"/>
        </w:numPr>
        <w:spacing w:after="120" w:line="240" w:lineRule="atLeast"/>
      </w:pPr>
      <w:r w:rsidRPr="00807DAF">
        <w:t xml:space="preserve">have stable and sufficient sources of finance to maintain their activity throughout the </w:t>
      </w:r>
      <w:r w:rsidR="00AA2065" w:rsidRPr="00807DAF">
        <w:t>proposed</w:t>
      </w:r>
      <w:r w:rsidRPr="00807DAF">
        <w:t xml:space="preserve"> action and, where appropriate, to participate in its funding</w:t>
      </w:r>
      <w:r w:rsidR="00064836">
        <w:t xml:space="preserve"> (this only applies to lead applicants);</w:t>
      </w:r>
    </w:p>
    <w:p w14:paraId="648D0A3C" w14:textId="77777777" w:rsidR="0007408E" w:rsidRDefault="0007408E" w:rsidP="00EA610C">
      <w:pPr>
        <w:numPr>
          <w:ilvl w:val="0"/>
          <w:numId w:val="16"/>
        </w:numPr>
        <w:spacing w:after="120" w:line="240" w:lineRule="atLeast"/>
      </w:pPr>
      <w:r w:rsidRPr="00807DAF">
        <w:t xml:space="preserve">have the </w:t>
      </w:r>
      <w:r w:rsidR="00543106" w:rsidRPr="00807DAF">
        <w:t>management ca</w:t>
      </w:r>
      <w:r w:rsidR="00833F09" w:rsidRPr="00807DAF">
        <w:t>p</w:t>
      </w:r>
      <w:r w:rsidR="00543106" w:rsidRPr="00807DAF">
        <w:t xml:space="preserve">acity, </w:t>
      </w:r>
      <w:r w:rsidRPr="00807DAF">
        <w:t xml:space="preserve">professional competencies and qualifications required to successfully complete the proposed action. This </w:t>
      </w:r>
      <w:r w:rsidR="00064836">
        <w:t>applies to applicants and</w:t>
      </w:r>
      <w:r w:rsidR="00064836" w:rsidRPr="00807DAF">
        <w:t xml:space="preserve"> </w:t>
      </w:r>
      <w:r w:rsidRPr="00807DAF">
        <w:t xml:space="preserve">any </w:t>
      </w:r>
      <w:r w:rsidR="000C1624" w:rsidRPr="00807DAF">
        <w:t>affiliated entity(</w:t>
      </w:r>
      <w:proofErr w:type="spellStart"/>
      <w:r w:rsidR="000C1624" w:rsidRPr="00807DAF">
        <w:t>ies</w:t>
      </w:r>
      <w:proofErr w:type="spellEnd"/>
      <w:r w:rsidR="000C1624" w:rsidRPr="00807DAF">
        <w:t>)</w:t>
      </w:r>
      <w:r w:rsidRPr="00807DAF">
        <w:t>.</w:t>
      </w:r>
    </w:p>
    <w:p w14:paraId="11CE9D28" w14:textId="77777777" w:rsidR="00CA310C" w:rsidRPr="00807DAF" w:rsidRDefault="00CA310C" w:rsidP="00F36C74">
      <w:pPr>
        <w:spacing w:after="120" w:line="240" w:lineRule="atLeast"/>
      </w:pPr>
      <w:bookmarkStart w:id="89" w:name="_Hlk522123628"/>
      <w:r w:rsidRPr="007904B1">
        <w:t xml:space="preserve">For the purpose of the evaluation of the financial capacity, </w:t>
      </w:r>
      <w:r>
        <w:t>lead a</w:t>
      </w:r>
      <w:r w:rsidRPr="007904B1">
        <w:t xml:space="preserve">pplicants must ensure that the relevant information and documents </w:t>
      </w:r>
      <w:r>
        <w:t>(</w:t>
      </w:r>
      <w:proofErr w:type="gramStart"/>
      <w:r>
        <w:t>i.e.</w:t>
      </w:r>
      <w:proofErr w:type="gramEnd"/>
      <w:r>
        <w:t xml:space="preserve"> </w:t>
      </w:r>
      <w:r w:rsidRPr="0086420D">
        <w:rPr>
          <w:szCs w:val="22"/>
          <w:lang w:eastAsia="en-GB"/>
        </w:rPr>
        <w:t>accounts of the latest financial year</w:t>
      </w:r>
      <w:r w:rsidR="005638D7">
        <w:rPr>
          <w:szCs w:val="22"/>
          <w:lang w:eastAsia="en-GB"/>
        </w:rPr>
        <w:t>s</w:t>
      </w:r>
      <w:r>
        <w:rPr>
          <w:szCs w:val="22"/>
          <w:lang w:eastAsia="en-GB"/>
        </w:rPr>
        <w:t xml:space="preserve"> and external audit report, where applicable</w:t>
      </w:r>
      <w:r>
        <w:t>)</w:t>
      </w:r>
      <w:r w:rsidRPr="007904B1">
        <w:t xml:space="preserve"> are up to date</w:t>
      </w:r>
      <w:r w:rsidR="00980028">
        <w:t xml:space="preserve"> </w:t>
      </w:r>
      <w:r w:rsidR="00980028" w:rsidRPr="00980028">
        <w:t xml:space="preserve">either in their PADOR profile or when submitting the requested documents with PADOR </w:t>
      </w:r>
      <w:r w:rsidR="00C92A95">
        <w:t>registration form</w:t>
      </w:r>
      <w:r w:rsidRPr="007904B1">
        <w:t xml:space="preserve">. If the information and documents </w:t>
      </w:r>
      <w:r w:rsidR="00980028">
        <w:t>requested</w:t>
      </w:r>
      <w:r w:rsidRPr="007904B1">
        <w:t xml:space="preserve"> are outdated and do not allow for a proper evaluation of the financial capacity</w:t>
      </w:r>
      <w:r>
        <w:t>, the application may be rejected.</w:t>
      </w:r>
      <w:bookmarkEnd w:id="89"/>
    </w:p>
    <w:p w14:paraId="3E6FB696" w14:textId="77777777" w:rsidR="0007408E" w:rsidRPr="00807DAF" w:rsidRDefault="0007408E" w:rsidP="00F36C74">
      <w:pPr>
        <w:spacing w:after="120" w:line="240" w:lineRule="atLeast"/>
      </w:pPr>
      <w:r w:rsidRPr="00807DAF">
        <w:rPr>
          <w:b/>
          <w:u w:val="single"/>
        </w:rPr>
        <w:t>The award criteria</w:t>
      </w:r>
      <w:r w:rsidRPr="00807DAF">
        <w:t xml:space="preserve"> </w:t>
      </w:r>
      <w:r w:rsidR="006F44FB" w:rsidRPr="00807DAF">
        <w:t xml:space="preserve">help to evaluate </w:t>
      </w:r>
      <w:r w:rsidRPr="00807DAF">
        <w:t xml:space="preserve">the quality of the </w:t>
      </w:r>
      <w:r w:rsidR="006459C5" w:rsidRPr="00807DAF">
        <w:t>application</w:t>
      </w:r>
      <w:r w:rsidRPr="00807DAF">
        <w:t xml:space="preserve">s in relation to the objectives and </w:t>
      </w:r>
      <w:r w:rsidR="006C1232" w:rsidRPr="00807DAF">
        <w:t>priorities</w:t>
      </w:r>
      <w:r w:rsidR="0086780C">
        <w:t xml:space="preserve"> set forth in the guidelines</w:t>
      </w:r>
      <w:r w:rsidR="006C1232" w:rsidRPr="00807DAF">
        <w:t xml:space="preserve">, and </w:t>
      </w:r>
      <w:r w:rsidR="006F44FB" w:rsidRPr="00807DAF">
        <w:t xml:space="preserve">to award </w:t>
      </w:r>
      <w:r w:rsidR="006C1232" w:rsidRPr="00807DAF">
        <w:t>grant</w:t>
      </w:r>
      <w:r w:rsidR="004977D3" w:rsidRPr="00807DAF">
        <w:t>s</w:t>
      </w:r>
      <w:r w:rsidRPr="00807DAF">
        <w:t xml:space="preserve"> to </w:t>
      </w:r>
      <w:r w:rsidR="00CF5740" w:rsidRPr="00807DAF">
        <w:t>project</w:t>
      </w:r>
      <w:r w:rsidRPr="00807DAF">
        <w:t xml:space="preserve">s which maximise the overall effectiveness of the </w:t>
      </w:r>
      <w:r w:rsidR="00717ADB">
        <w:t>c</w:t>
      </w:r>
      <w:r w:rsidR="001D0C7B" w:rsidRPr="00807DAF">
        <w:t xml:space="preserve">all for </w:t>
      </w:r>
      <w:r w:rsidR="00717ADB">
        <w:t>p</w:t>
      </w:r>
      <w:r w:rsidR="001D0C7B" w:rsidRPr="00807DAF">
        <w:t>roposals</w:t>
      </w:r>
      <w:r w:rsidRPr="00807DAF">
        <w:t xml:space="preserve">. </w:t>
      </w:r>
      <w:r w:rsidR="00543106" w:rsidRPr="00807DAF">
        <w:t xml:space="preserve">They </w:t>
      </w:r>
      <w:r w:rsidR="006F44FB" w:rsidRPr="00807DAF">
        <w:t>help to select</w:t>
      </w:r>
      <w:r w:rsidR="00833F09" w:rsidRPr="00807DAF">
        <w:t xml:space="preserve"> </w:t>
      </w:r>
      <w:r w:rsidR="006459C5" w:rsidRPr="00807DAF">
        <w:t>application</w:t>
      </w:r>
      <w:r w:rsidR="0035206C" w:rsidRPr="00807DAF">
        <w:t>s which t</w:t>
      </w:r>
      <w:r w:rsidR="00D959F0" w:rsidRPr="00807DAF">
        <w:t xml:space="preserve">he </w:t>
      </w:r>
      <w:r w:rsidR="00A11755">
        <w:t>c</w:t>
      </w:r>
      <w:r w:rsidR="00D959F0" w:rsidRPr="00807DAF">
        <w:t xml:space="preserve">ontracting </w:t>
      </w:r>
      <w:r w:rsidR="00A11755">
        <w:t>a</w:t>
      </w:r>
      <w:r w:rsidR="00D959F0" w:rsidRPr="00807DAF">
        <w:t>uthority</w:t>
      </w:r>
      <w:r w:rsidR="00833F09" w:rsidRPr="00807DAF">
        <w:t xml:space="preserve"> can be confident will comply with</w:t>
      </w:r>
      <w:r w:rsidR="00D959F0" w:rsidRPr="00807DAF">
        <w:t xml:space="preserve"> its objectives and priorities</w:t>
      </w:r>
      <w:r w:rsidR="002A4866" w:rsidRPr="00807DAF">
        <w:t>.</w:t>
      </w:r>
      <w:r w:rsidR="00D959F0" w:rsidRPr="00807DAF">
        <w:t xml:space="preserve"> </w:t>
      </w:r>
      <w:r w:rsidRPr="00807DAF">
        <w:t xml:space="preserve">They cover the relevance of the action, its consistency with the objectives of the </w:t>
      </w:r>
      <w:r w:rsidR="00717ADB">
        <w:t>c</w:t>
      </w:r>
      <w:r w:rsidR="001D0C7B" w:rsidRPr="00807DAF">
        <w:t xml:space="preserve">all for </w:t>
      </w:r>
      <w:r w:rsidR="00717ADB">
        <w:t>p</w:t>
      </w:r>
      <w:r w:rsidR="001D0C7B" w:rsidRPr="00807DAF">
        <w:t>roposals</w:t>
      </w:r>
      <w:r w:rsidRPr="00807DAF">
        <w:t>, quality, expected impact, sustainability and cost-effectiveness.</w:t>
      </w:r>
    </w:p>
    <w:p w14:paraId="5EBC7507" w14:textId="77777777" w:rsidR="00ED5802" w:rsidRPr="00807DAF" w:rsidRDefault="00ED5802" w:rsidP="00F36C74">
      <w:pPr>
        <w:spacing w:after="120" w:line="240" w:lineRule="atLeast"/>
        <w:rPr>
          <w:i/>
        </w:rPr>
      </w:pPr>
      <w:r w:rsidRPr="00807DAF">
        <w:rPr>
          <w:i/>
        </w:rPr>
        <w:t>Scoring:</w:t>
      </w:r>
    </w:p>
    <w:p w14:paraId="7EE273E4" w14:textId="77777777" w:rsidR="00ED5802" w:rsidRPr="00807DAF" w:rsidRDefault="00ED5802" w:rsidP="00F36C74">
      <w:pPr>
        <w:spacing w:after="120" w:line="240" w:lineRule="atLeast"/>
      </w:pPr>
      <w:r w:rsidRPr="00807DAF">
        <w:t xml:space="preserve">The evaluation </w:t>
      </w:r>
      <w:r w:rsidR="00613863" w:rsidRPr="00807DAF">
        <w:t xml:space="preserve">grid is </w:t>
      </w:r>
      <w:r w:rsidRPr="00807DAF">
        <w:t xml:space="preserve">divided into </w:t>
      </w:r>
      <w:r w:rsidR="00853E40">
        <w:t>S</w:t>
      </w:r>
      <w:r w:rsidRPr="00807DAF">
        <w:t xml:space="preserve">ections and subsections. </w:t>
      </w:r>
      <w:r w:rsidR="007017C5" w:rsidRPr="00807DAF">
        <w:t xml:space="preserve">Each subsection </w:t>
      </w:r>
      <w:r w:rsidRPr="00807DAF">
        <w:t xml:space="preserve">will be given a score between 1 and 5 </w:t>
      </w:r>
      <w:r w:rsidR="006F44FB" w:rsidRPr="00807DAF">
        <w:t>as</w:t>
      </w:r>
      <w:r w:rsidRPr="00807DAF">
        <w:t xml:space="preserve"> follow</w:t>
      </w:r>
      <w:r w:rsidR="006F44FB" w:rsidRPr="00807DAF">
        <w:t>s</w:t>
      </w:r>
      <w:r w:rsidRPr="00807DAF">
        <w:t xml:space="preserve">: 1 = very poor; 2 = poor; 3 = adequate; 4 = good; 5 = very good. </w:t>
      </w:r>
    </w:p>
    <w:p w14:paraId="5084F6AD" w14:textId="77777777" w:rsidR="0007408E" w:rsidRPr="00807DAF" w:rsidRDefault="0007408E" w:rsidP="00F36C74">
      <w:pPr>
        <w:spacing w:after="120" w:line="240" w:lineRule="atLeast"/>
        <w:rPr>
          <w:b/>
        </w:rPr>
      </w:pPr>
      <w:r w:rsidRPr="00807DAF">
        <w:rPr>
          <w:b/>
        </w:rPr>
        <w:t xml:space="preserve">Evaluation </w:t>
      </w:r>
      <w:r w:rsidR="00A11755">
        <w:rPr>
          <w:b/>
        </w:rPr>
        <w:t>g</w:t>
      </w:r>
      <w:r w:rsidRPr="00807DAF">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7F332A" w:rsidRPr="00807DAF" w14:paraId="5D360C38" w14:textId="77777777" w:rsidTr="00DF6F65">
        <w:tc>
          <w:tcPr>
            <w:tcW w:w="8472" w:type="dxa"/>
            <w:vAlign w:val="center"/>
          </w:tcPr>
          <w:p w14:paraId="17F826A3" w14:textId="77777777" w:rsidR="007F332A" w:rsidRPr="00E94A3D" w:rsidRDefault="007F332A" w:rsidP="00F36C74">
            <w:pPr>
              <w:spacing w:after="120" w:line="240" w:lineRule="atLeast"/>
              <w:rPr>
                <w:b/>
                <w:szCs w:val="22"/>
              </w:rPr>
            </w:pPr>
            <w:r w:rsidRPr="00E94A3D">
              <w:rPr>
                <w:b/>
                <w:szCs w:val="22"/>
              </w:rPr>
              <w:t>Section</w:t>
            </w:r>
          </w:p>
        </w:tc>
        <w:tc>
          <w:tcPr>
            <w:tcW w:w="1275" w:type="dxa"/>
            <w:vAlign w:val="center"/>
          </w:tcPr>
          <w:p w14:paraId="25EF0240" w14:textId="77777777" w:rsidR="007F332A" w:rsidRPr="00E94A3D" w:rsidRDefault="007F332A" w:rsidP="00F36C74">
            <w:pPr>
              <w:spacing w:after="120" w:line="240" w:lineRule="atLeast"/>
              <w:jc w:val="center"/>
              <w:rPr>
                <w:b/>
                <w:szCs w:val="22"/>
              </w:rPr>
            </w:pPr>
            <w:r w:rsidRPr="00E94A3D">
              <w:rPr>
                <w:b/>
                <w:szCs w:val="22"/>
              </w:rPr>
              <w:t>Maximum Score</w:t>
            </w:r>
          </w:p>
        </w:tc>
      </w:tr>
      <w:tr w:rsidR="007F332A" w:rsidRPr="00807DAF" w14:paraId="4309F796" w14:textId="77777777" w:rsidTr="00DF6F65">
        <w:tc>
          <w:tcPr>
            <w:tcW w:w="8472" w:type="dxa"/>
            <w:shd w:val="pct10" w:color="auto" w:fill="FFFFFF"/>
            <w:vAlign w:val="center"/>
          </w:tcPr>
          <w:p w14:paraId="7D7F984E" w14:textId="77777777" w:rsidR="007F332A" w:rsidRPr="00E94A3D" w:rsidRDefault="007F332A" w:rsidP="00F36C74">
            <w:pPr>
              <w:spacing w:after="120" w:line="240" w:lineRule="atLeast"/>
              <w:rPr>
                <w:szCs w:val="22"/>
              </w:rPr>
            </w:pPr>
            <w:r w:rsidRPr="00E94A3D">
              <w:rPr>
                <w:b/>
                <w:szCs w:val="22"/>
              </w:rPr>
              <w:t xml:space="preserve">1. </w:t>
            </w:r>
            <w:r w:rsidRPr="00E94A3D">
              <w:rPr>
                <w:b/>
                <w:noProof/>
                <w:szCs w:val="22"/>
              </w:rPr>
              <w:t>Financial and operational capacity</w:t>
            </w:r>
          </w:p>
        </w:tc>
        <w:tc>
          <w:tcPr>
            <w:tcW w:w="1275" w:type="dxa"/>
            <w:shd w:val="pct10" w:color="auto" w:fill="FFFFFF"/>
            <w:vAlign w:val="center"/>
          </w:tcPr>
          <w:p w14:paraId="2302F1FB" w14:textId="77777777" w:rsidR="007F332A" w:rsidRPr="00E94A3D" w:rsidRDefault="007F332A" w:rsidP="00F36C74">
            <w:pPr>
              <w:spacing w:after="120" w:line="240" w:lineRule="atLeast"/>
              <w:jc w:val="center"/>
              <w:rPr>
                <w:b/>
                <w:szCs w:val="22"/>
              </w:rPr>
            </w:pPr>
            <w:r w:rsidRPr="00E94A3D">
              <w:rPr>
                <w:b/>
                <w:noProof/>
                <w:szCs w:val="22"/>
              </w:rPr>
              <w:t>20</w:t>
            </w:r>
          </w:p>
        </w:tc>
      </w:tr>
      <w:tr w:rsidR="007F332A" w:rsidRPr="00807DAF" w14:paraId="6DF9FE21" w14:textId="77777777" w:rsidTr="00DF6F65">
        <w:tc>
          <w:tcPr>
            <w:tcW w:w="8472" w:type="dxa"/>
          </w:tcPr>
          <w:p w14:paraId="706C0151" w14:textId="77777777" w:rsidR="007F332A" w:rsidRPr="00E94A3D" w:rsidRDefault="007F332A" w:rsidP="00F36C74">
            <w:pPr>
              <w:spacing w:after="120" w:line="240" w:lineRule="atLeast"/>
              <w:ind w:left="340" w:hanging="340"/>
              <w:rPr>
                <w:szCs w:val="22"/>
              </w:rPr>
            </w:pPr>
            <w:r w:rsidRPr="00E94A3D">
              <w:rPr>
                <w:noProof/>
                <w:szCs w:val="22"/>
              </w:rPr>
              <w:t>1.1. Do the applicants and, if applicable, their affiliated entity(ies) have sufficient in-house experience of project management?</w:t>
            </w:r>
          </w:p>
        </w:tc>
        <w:tc>
          <w:tcPr>
            <w:tcW w:w="1275" w:type="dxa"/>
          </w:tcPr>
          <w:p w14:paraId="7A7B79BB"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5C514D28" w14:textId="77777777" w:rsidTr="00DF6F65">
        <w:tc>
          <w:tcPr>
            <w:tcW w:w="8472" w:type="dxa"/>
          </w:tcPr>
          <w:p w14:paraId="2A973A4A" w14:textId="77777777" w:rsidR="007F332A" w:rsidRPr="00E94A3D" w:rsidRDefault="007F332A" w:rsidP="00F36C74">
            <w:pPr>
              <w:spacing w:after="120" w:line="240" w:lineRule="atLeast"/>
              <w:ind w:left="340" w:hanging="340"/>
              <w:rPr>
                <w:szCs w:val="22"/>
              </w:rPr>
            </w:pPr>
            <w:r w:rsidRPr="00E94A3D">
              <w:rPr>
                <w:noProof/>
                <w:szCs w:val="22"/>
              </w:rPr>
              <w:t>1.2. Do the applicants and, if applicable, their affiliated entity(ies) have sufficient technical in-house expertise (especially knowledge of the issues to be addressed)?</w:t>
            </w:r>
          </w:p>
        </w:tc>
        <w:tc>
          <w:tcPr>
            <w:tcW w:w="1275" w:type="dxa"/>
          </w:tcPr>
          <w:p w14:paraId="06A3FDEE"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6CBD1F1D" w14:textId="77777777" w:rsidTr="00DF6F65">
        <w:tc>
          <w:tcPr>
            <w:tcW w:w="8472" w:type="dxa"/>
          </w:tcPr>
          <w:p w14:paraId="3609CC20" w14:textId="77777777" w:rsidR="007F332A" w:rsidRPr="00E94A3D" w:rsidRDefault="007F332A" w:rsidP="00F36C74">
            <w:pPr>
              <w:spacing w:after="120" w:line="240" w:lineRule="atLeast"/>
              <w:ind w:left="340" w:hanging="340"/>
              <w:rPr>
                <w:szCs w:val="22"/>
              </w:rPr>
            </w:pPr>
            <w:r w:rsidRPr="00E94A3D">
              <w:rPr>
                <w:noProof/>
                <w:szCs w:val="22"/>
              </w:rPr>
              <w:t>1.3. Do the applicants and, if applicable, their affiliated entity(ies) have sufficient management in-house capacity (including staff, equipment and ability to handle the budget for the action)?</w:t>
            </w:r>
          </w:p>
        </w:tc>
        <w:tc>
          <w:tcPr>
            <w:tcW w:w="1275" w:type="dxa"/>
          </w:tcPr>
          <w:p w14:paraId="30E8C43D"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3BD6023F" w14:textId="77777777" w:rsidTr="00DF6F65">
        <w:tc>
          <w:tcPr>
            <w:tcW w:w="8472" w:type="dxa"/>
          </w:tcPr>
          <w:p w14:paraId="2E5F9C43" w14:textId="77777777" w:rsidR="007F332A" w:rsidRPr="00E94A3D" w:rsidRDefault="007F332A" w:rsidP="00F36C74">
            <w:pPr>
              <w:spacing w:after="120" w:line="240" w:lineRule="atLeast"/>
              <w:ind w:left="340" w:hanging="340"/>
              <w:rPr>
                <w:szCs w:val="22"/>
              </w:rPr>
            </w:pPr>
            <w:r w:rsidRPr="00E94A3D">
              <w:rPr>
                <w:noProof/>
                <w:szCs w:val="22"/>
              </w:rPr>
              <w:t>1.4. Does the lead applicant have stable and sufficient sources of finance?</w:t>
            </w:r>
          </w:p>
        </w:tc>
        <w:tc>
          <w:tcPr>
            <w:tcW w:w="1275" w:type="dxa"/>
          </w:tcPr>
          <w:p w14:paraId="24FA9294"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61C1720F" w14:textId="77777777" w:rsidTr="00DF6F65">
        <w:tc>
          <w:tcPr>
            <w:tcW w:w="8472" w:type="dxa"/>
            <w:shd w:val="pct10" w:color="auto" w:fill="FFFFFF"/>
            <w:vAlign w:val="center"/>
          </w:tcPr>
          <w:p w14:paraId="1C20F37F" w14:textId="77777777" w:rsidR="007F332A" w:rsidRPr="00E94A3D" w:rsidRDefault="007F332A" w:rsidP="00F36C74">
            <w:pPr>
              <w:spacing w:after="120" w:line="240" w:lineRule="atLeast"/>
              <w:jc w:val="left"/>
              <w:rPr>
                <w:szCs w:val="22"/>
              </w:rPr>
            </w:pPr>
            <w:r w:rsidRPr="00E94A3D">
              <w:rPr>
                <w:b/>
                <w:szCs w:val="22"/>
              </w:rPr>
              <w:t xml:space="preserve">2. </w:t>
            </w:r>
            <w:r w:rsidRPr="00E94A3D">
              <w:rPr>
                <w:b/>
                <w:noProof/>
                <w:szCs w:val="22"/>
              </w:rPr>
              <w:t>Relevance of the action</w:t>
            </w:r>
          </w:p>
        </w:tc>
        <w:tc>
          <w:tcPr>
            <w:tcW w:w="1275" w:type="dxa"/>
            <w:shd w:val="pct10" w:color="auto" w:fill="FFFFFF"/>
            <w:vAlign w:val="center"/>
          </w:tcPr>
          <w:p w14:paraId="372A02FD" w14:textId="77777777" w:rsidR="007F332A" w:rsidRPr="00E94A3D" w:rsidRDefault="007F332A" w:rsidP="00F36C74">
            <w:pPr>
              <w:spacing w:after="120" w:line="240" w:lineRule="atLeast"/>
              <w:jc w:val="center"/>
              <w:rPr>
                <w:b/>
                <w:szCs w:val="22"/>
              </w:rPr>
            </w:pPr>
            <w:r w:rsidRPr="00E94A3D">
              <w:rPr>
                <w:b/>
                <w:noProof/>
                <w:szCs w:val="22"/>
              </w:rPr>
              <w:t>20</w:t>
            </w:r>
          </w:p>
        </w:tc>
      </w:tr>
      <w:tr w:rsidR="007F332A" w:rsidRPr="00807DAF" w14:paraId="0BF1D0B9" w14:textId="77777777" w:rsidTr="00DF6F65">
        <w:tc>
          <w:tcPr>
            <w:tcW w:w="8472" w:type="dxa"/>
            <w:shd w:val="clear" w:color="auto" w:fill="FFFFFF"/>
          </w:tcPr>
          <w:p w14:paraId="55419498" w14:textId="77777777" w:rsidR="007F332A" w:rsidRPr="00E94A3D" w:rsidRDefault="007F332A" w:rsidP="00F36C74">
            <w:pPr>
              <w:spacing w:after="120" w:line="240" w:lineRule="atLeast"/>
              <w:rPr>
                <w:i/>
                <w:szCs w:val="22"/>
              </w:rPr>
            </w:pPr>
            <w:r w:rsidRPr="00E94A3D">
              <w:rPr>
                <w:noProof/>
                <w:szCs w:val="22"/>
              </w:rPr>
              <w:t>2.1. Consistency with the objectives of the call: How relevant is the proposal to the objectives and priorities of the call for proposals and to the specific themes/sectors/areas or any other specific requirement stated in the guidelines for applicants? Are the expected results of the action aligned with the priorities defined in the guidelines for applicants (section 1.2)?</w:t>
            </w:r>
          </w:p>
        </w:tc>
        <w:tc>
          <w:tcPr>
            <w:tcW w:w="1275" w:type="dxa"/>
            <w:shd w:val="clear" w:color="auto" w:fill="FFFFFF"/>
            <w:vAlign w:val="center"/>
          </w:tcPr>
          <w:p w14:paraId="4FEE81AE" w14:textId="77777777" w:rsidR="007F332A" w:rsidRPr="00E94A3D" w:rsidRDefault="007F332A" w:rsidP="00F36C74">
            <w:pPr>
              <w:spacing w:after="120" w:line="240" w:lineRule="atLeast"/>
              <w:jc w:val="center"/>
              <w:rPr>
                <w:b/>
                <w:szCs w:val="22"/>
              </w:rPr>
            </w:pPr>
            <w:r w:rsidRPr="00E94A3D">
              <w:rPr>
                <w:noProof/>
                <w:szCs w:val="22"/>
              </w:rPr>
              <w:t>5</w:t>
            </w:r>
          </w:p>
        </w:tc>
      </w:tr>
      <w:tr w:rsidR="007F332A" w:rsidRPr="00807DAF" w14:paraId="41FF37E7" w14:textId="77777777" w:rsidTr="00DF6F65">
        <w:tc>
          <w:tcPr>
            <w:tcW w:w="8472" w:type="dxa"/>
            <w:shd w:val="clear" w:color="auto" w:fill="FFFFFF"/>
          </w:tcPr>
          <w:p w14:paraId="56E0FAE2" w14:textId="77777777" w:rsidR="007F332A" w:rsidRPr="00E94A3D" w:rsidRDefault="007F332A" w:rsidP="00F36C74">
            <w:pPr>
              <w:spacing w:after="120" w:line="240" w:lineRule="atLeast"/>
              <w:rPr>
                <w:i/>
                <w:szCs w:val="22"/>
              </w:rPr>
            </w:pPr>
            <w:r w:rsidRPr="00E94A3D">
              <w:rPr>
                <w:noProof/>
                <w:szCs w:val="22"/>
              </w:rPr>
              <w:t xml:space="preserve">2.2. Relevance to the country/region/sector needs: How relevant is the proposal to the particular needs and constraints of the target country(ies), region(s) and/or relevant sectors (including synergy with other development initiatives and avoidance of duplication)? </w:t>
            </w:r>
          </w:p>
        </w:tc>
        <w:tc>
          <w:tcPr>
            <w:tcW w:w="1275" w:type="dxa"/>
            <w:shd w:val="clear" w:color="auto" w:fill="FFFFFF"/>
            <w:vAlign w:val="center"/>
          </w:tcPr>
          <w:p w14:paraId="10059A5A" w14:textId="77777777" w:rsidR="007F332A" w:rsidRPr="00E94A3D" w:rsidRDefault="007F332A" w:rsidP="00F36C74">
            <w:pPr>
              <w:spacing w:after="120" w:line="240" w:lineRule="atLeast"/>
              <w:jc w:val="center"/>
              <w:rPr>
                <w:b/>
                <w:szCs w:val="22"/>
              </w:rPr>
            </w:pPr>
            <w:r w:rsidRPr="00E94A3D">
              <w:rPr>
                <w:noProof/>
                <w:szCs w:val="22"/>
              </w:rPr>
              <w:t>5</w:t>
            </w:r>
          </w:p>
        </w:tc>
      </w:tr>
      <w:tr w:rsidR="007F332A" w:rsidRPr="00807DAF" w14:paraId="69922156" w14:textId="77777777" w:rsidTr="00DF6F65">
        <w:tc>
          <w:tcPr>
            <w:tcW w:w="8472" w:type="dxa"/>
            <w:shd w:val="clear" w:color="auto" w:fill="FFFFFF"/>
          </w:tcPr>
          <w:p w14:paraId="77105E26" w14:textId="77777777" w:rsidR="007F332A" w:rsidRPr="00E94A3D" w:rsidRDefault="007F332A" w:rsidP="00F36C74">
            <w:pPr>
              <w:spacing w:after="120" w:line="240" w:lineRule="atLeast"/>
              <w:rPr>
                <w:i/>
                <w:szCs w:val="22"/>
              </w:rPr>
            </w:pPr>
            <w:r w:rsidRPr="00E94A3D">
              <w:rPr>
                <w:noProof/>
                <w:szCs w:val="22"/>
              </w:rPr>
              <w:t>2.3. Target groups and final beneficiaries: How clearly defined and strategically chosen are the target groups and final beneficiaries? Have their needs (as rights holders and/or duty bearers) and constraints been clearly defined? Does the proposal address them appropriately?</w:t>
            </w:r>
          </w:p>
        </w:tc>
        <w:tc>
          <w:tcPr>
            <w:tcW w:w="1275" w:type="dxa"/>
            <w:shd w:val="clear" w:color="auto" w:fill="FFFFFF"/>
            <w:vAlign w:val="center"/>
          </w:tcPr>
          <w:p w14:paraId="49F8D1B6" w14:textId="77777777" w:rsidR="007F332A" w:rsidRPr="00E94A3D" w:rsidRDefault="007F332A" w:rsidP="00F36C74">
            <w:pPr>
              <w:spacing w:after="120" w:line="240" w:lineRule="atLeast"/>
              <w:jc w:val="center"/>
              <w:rPr>
                <w:b/>
                <w:szCs w:val="22"/>
              </w:rPr>
            </w:pPr>
            <w:r w:rsidRPr="00E94A3D">
              <w:rPr>
                <w:noProof/>
                <w:szCs w:val="22"/>
              </w:rPr>
              <w:t>5</w:t>
            </w:r>
          </w:p>
        </w:tc>
      </w:tr>
      <w:tr w:rsidR="007F332A" w:rsidRPr="00807DAF" w14:paraId="2B2B1B8A" w14:textId="77777777" w:rsidTr="00DF6F65">
        <w:tc>
          <w:tcPr>
            <w:tcW w:w="8472" w:type="dxa"/>
            <w:shd w:val="clear" w:color="auto" w:fill="FFFFFF"/>
          </w:tcPr>
          <w:p w14:paraId="2615C180" w14:textId="77777777" w:rsidR="007F332A" w:rsidRPr="00E94A3D" w:rsidRDefault="007F332A" w:rsidP="00F36C74">
            <w:pPr>
              <w:spacing w:after="120" w:line="240" w:lineRule="atLeast"/>
              <w:rPr>
                <w:i/>
                <w:szCs w:val="22"/>
              </w:rPr>
            </w:pPr>
            <w:r w:rsidRPr="00E94A3D">
              <w:rPr>
                <w:noProof/>
                <w:szCs w:val="22"/>
              </w:rPr>
              <w:t>2.4. Added value elements: Does the proposal contain particular added-value elements (e.g. innovation, best practices)? [and the other additional elements indicated under 1.2. of the guidelines for applicants]</w:t>
            </w:r>
          </w:p>
        </w:tc>
        <w:tc>
          <w:tcPr>
            <w:tcW w:w="1275" w:type="dxa"/>
            <w:shd w:val="clear" w:color="auto" w:fill="FFFFFF"/>
            <w:vAlign w:val="center"/>
          </w:tcPr>
          <w:p w14:paraId="2BAD1C80" w14:textId="77777777" w:rsidR="007F332A" w:rsidRPr="00E94A3D" w:rsidRDefault="007F332A" w:rsidP="00F36C74">
            <w:pPr>
              <w:spacing w:after="120" w:line="240" w:lineRule="atLeast"/>
              <w:jc w:val="center"/>
              <w:rPr>
                <w:b/>
                <w:szCs w:val="22"/>
              </w:rPr>
            </w:pPr>
            <w:r w:rsidRPr="00E94A3D">
              <w:rPr>
                <w:noProof/>
                <w:szCs w:val="22"/>
              </w:rPr>
              <w:t>5</w:t>
            </w:r>
          </w:p>
        </w:tc>
      </w:tr>
      <w:tr w:rsidR="007F332A" w:rsidRPr="00807DAF" w14:paraId="62F2862F" w14:textId="77777777" w:rsidTr="00DF6F65">
        <w:tc>
          <w:tcPr>
            <w:tcW w:w="8472" w:type="dxa"/>
            <w:shd w:val="pct10" w:color="auto" w:fill="FFFFFF"/>
            <w:vAlign w:val="center"/>
          </w:tcPr>
          <w:p w14:paraId="2FCC4A16" w14:textId="77777777" w:rsidR="007F332A" w:rsidRPr="00E94A3D" w:rsidRDefault="007F332A" w:rsidP="00F36C74">
            <w:pPr>
              <w:spacing w:after="120" w:line="240" w:lineRule="atLeast"/>
              <w:rPr>
                <w:szCs w:val="22"/>
              </w:rPr>
            </w:pPr>
            <w:r w:rsidRPr="00E94A3D">
              <w:rPr>
                <w:b/>
                <w:szCs w:val="22"/>
              </w:rPr>
              <w:lastRenderedPageBreak/>
              <w:t xml:space="preserve">3. </w:t>
            </w:r>
            <w:r w:rsidRPr="00E94A3D">
              <w:rPr>
                <w:b/>
                <w:noProof/>
                <w:szCs w:val="22"/>
              </w:rPr>
              <w:t>Design of the action</w:t>
            </w:r>
          </w:p>
        </w:tc>
        <w:tc>
          <w:tcPr>
            <w:tcW w:w="1275" w:type="dxa"/>
            <w:shd w:val="pct10" w:color="auto" w:fill="FFFFFF"/>
            <w:vAlign w:val="center"/>
          </w:tcPr>
          <w:p w14:paraId="4B42F65F" w14:textId="77777777" w:rsidR="007F332A" w:rsidRPr="00E94A3D" w:rsidRDefault="007F332A" w:rsidP="00F36C74">
            <w:pPr>
              <w:spacing w:after="120" w:line="240" w:lineRule="atLeast"/>
              <w:jc w:val="center"/>
              <w:rPr>
                <w:b/>
                <w:szCs w:val="22"/>
              </w:rPr>
            </w:pPr>
            <w:r w:rsidRPr="00E94A3D">
              <w:rPr>
                <w:b/>
                <w:noProof/>
                <w:szCs w:val="22"/>
              </w:rPr>
              <w:t>15</w:t>
            </w:r>
          </w:p>
        </w:tc>
      </w:tr>
      <w:tr w:rsidR="007F332A" w:rsidRPr="00807DAF" w14:paraId="5EF0619D" w14:textId="77777777" w:rsidTr="00DF6F65">
        <w:tc>
          <w:tcPr>
            <w:tcW w:w="8472" w:type="dxa"/>
          </w:tcPr>
          <w:p w14:paraId="0D129397" w14:textId="77777777" w:rsidR="007F332A" w:rsidRPr="00E94A3D" w:rsidRDefault="007F332A" w:rsidP="00F36C74">
            <w:pPr>
              <w:spacing w:after="120" w:line="240" w:lineRule="atLeast"/>
              <w:ind w:left="340" w:hanging="340"/>
              <w:rPr>
                <w:szCs w:val="22"/>
              </w:rPr>
            </w:pPr>
            <w:r w:rsidRPr="00E94A3D">
              <w:rPr>
                <w:noProof/>
                <w:szCs w:val="22"/>
              </w:rPr>
              <w:t>3.1. Intervention logic. Does the proposal indicate the expected results (outputs/outcomes/impacts) to be achieved by the action? Does the design of the proposed action identify explicitly the necessary sequence to achieve the desired objectives beginning with inputs, moving through activities and outputs, and culminating in outcomes and impacts? Is the indicative list of activities linked to and consistent with the expected outputs?</w:t>
            </w:r>
          </w:p>
        </w:tc>
        <w:tc>
          <w:tcPr>
            <w:tcW w:w="1275" w:type="dxa"/>
          </w:tcPr>
          <w:p w14:paraId="1CB4CB85"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6C1629CB" w14:textId="77777777" w:rsidTr="00DF6F65">
        <w:tc>
          <w:tcPr>
            <w:tcW w:w="8472" w:type="dxa"/>
          </w:tcPr>
          <w:p w14:paraId="46DDBBFF" w14:textId="1731FA2D" w:rsidR="007F332A" w:rsidRPr="00E94A3D" w:rsidRDefault="007F332A" w:rsidP="001D7251">
            <w:pPr>
              <w:spacing w:after="120" w:line="240" w:lineRule="atLeast"/>
              <w:ind w:left="340" w:hanging="340"/>
              <w:rPr>
                <w:szCs w:val="22"/>
              </w:rPr>
            </w:pPr>
            <w:r w:rsidRPr="00E94A3D">
              <w:rPr>
                <w:noProof/>
                <w:szCs w:val="22"/>
              </w:rPr>
              <w:t xml:space="preserve">3.2. Logical Framework Matrix: Is the logical framework provided in Annex C complete? Does each result (output, outcome, impact) include an adequate number of indicators that are sufficient in scope to measure its achievement? Is each indicator RACER (Relevant, Accepted, Credible, Easy to monitor, Robust)? Does each indicator have a baseline value (with year), target value (with year), and a credible source of data? If baselines and targets are not available, this is to be justified and a study (or other relevant tools) to be foreseen and budgeted in the proposal? </w:t>
            </w:r>
            <w:r w:rsidR="004D457A">
              <w:rPr>
                <w:noProof/>
                <w:szCs w:val="22"/>
              </w:rPr>
              <w:t>In the case of use of FNLC, are the FNLC results and indicators clearly marked?</w:t>
            </w:r>
          </w:p>
        </w:tc>
        <w:tc>
          <w:tcPr>
            <w:tcW w:w="1275" w:type="dxa"/>
          </w:tcPr>
          <w:p w14:paraId="4381F80F"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17526D83" w14:textId="77777777" w:rsidTr="00DF6F65">
        <w:tc>
          <w:tcPr>
            <w:tcW w:w="8472" w:type="dxa"/>
          </w:tcPr>
          <w:p w14:paraId="294E427D" w14:textId="77777777" w:rsidR="007F332A" w:rsidRPr="00E94A3D" w:rsidRDefault="007F332A" w:rsidP="00F36C74">
            <w:pPr>
              <w:spacing w:after="120" w:line="240" w:lineRule="atLeast"/>
              <w:ind w:left="340" w:hanging="340"/>
              <w:rPr>
                <w:szCs w:val="22"/>
              </w:rPr>
            </w:pPr>
            <w:r w:rsidRPr="00E94A3D">
              <w:rPr>
                <w:noProof/>
                <w:szCs w:val="22"/>
              </w:rPr>
              <w:t>3.3. Context analysis. Does the design of the action include a robust analysis of the needs to be addressed, including the capacities of the relevant stakeholders? Are those also embedded adequately in the intervention logic?</w:t>
            </w:r>
          </w:p>
        </w:tc>
        <w:tc>
          <w:tcPr>
            <w:tcW w:w="1275" w:type="dxa"/>
          </w:tcPr>
          <w:p w14:paraId="3A59850F"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4EA297C4" w14:textId="77777777" w:rsidTr="00DF6F65">
        <w:tc>
          <w:tcPr>
            <w:tcW w:w="8472" w:type="dxa"/>
            <w:shd w:val="pct10" w:color="auto" w:fill="FFFFFF"/>
            <w:vAlign w:val="center"/>
          </w:tcPr>
          <w:p w14:paraId="504004FE" w14:textId="77777777" w:rsidR="007F332A" w:rsidRPr="00E94A3D" w:rsidRDefault="007F332A" w:rsidP="00F36C74">
            <w:pPr>
              <w:spacing w:after="120" w:line="240" w:lineRule="atLeast"/>
              <w:rPr>
                <w:szCs w:val="22"/>
              </w:rPr>
            </w:pPr>
            <w:r w:rsidRPr="00E94A3D">
              <w:rPr>
                <w:szCs w:val="22"/>
              </w:rPr>
              <w:br w:type="page"/>
            </w:r>
            <w:r w:rsidRPr="00E94A3D">
              <w:rPr>
                <w:b/>
                <w:szCs w:val="22"/>
              </w:rPr>
              <w:t xml:space="preserve">4. </w:t>
            </w:r>
            <w:r w:rsidRPr="00E94A3D">
              <w:rPr>
                <w:b/>
                <w:noProof/>
                <w:szCs w:val="22"/>
              </w:rPr>
              <w:t>Implementation approach</w:t>
            </w:r>
          </w:p>
        </w:tc>
        <w:tc>
          <w:tcPr>
            <w:tcW w:w="1275" w:type="dxa"/>
            <w:shd w:val="pct10" w:color="auto" w:fill="FFFFFF"/>
            <w:vAlign w:val="center"/>
          </w:tcPr>
          <w:p w14:paraId="430C6C46" w14:textId="77777777" w:rsidR="007F332A" w:rsidRPr="00E94A3D" w:rsidRDefault="007F332A" w:rsidP="00F36C74">
            <w:pPr>
              <w:spacing w:after="120" w:line="240" w:lineRule="atLeast"/>
              <w:jc w:val="center"/>
              <w:rPr>
                <w:b/>
                <w:szCs w:val="22"/>
              </w:rPr>
            </w:pPr>
            <w:r w:rsidRPr="00E94A3D">
              <w:rPr>
                <w:b/>
                <w:noProof/>
                <w:szCs w:val="22"/>
              </w:rPr>
              <w:t>15</w:t>
            </w:r>
          </w:p>
        </w:tc>
      </w:tr>
      <w:tr w:rsidR="007F332A" w:rsidRPr="00807DAF" w14:paraId="4629D01D" w14:textId="77777777" w:rsidTr="00DF6F65">
        <w:tc>
          <w:tcPr>
            <w:tcW w:w="8472" w:type="dxa"/>
          </w:tcPr>
          <w:p w14:paraId="4EA507FA" w14:textId="77777777" w:rsidR="007F332A" w:rsidRPr="00E94A3D" w:rsidRDefault="007F332A" w:rsidP="00F36C74">
            <w:pPr>
              <w:spacing w:after="120" w:line="240" w:lineRule="atLeast"/>
              <w:ind w:left="340" w:hanging="340"/>
              <w:rPr>
                <w:szCs w:val="22"/>
              </w:rPr>
            </w:pPr>
            <w:r w:rsidRPr="00E94A3D">
              <w:rPr>
                <w:noProof/>
                <w:szCs w:val="22"/>
              </w:rPr>
              <w:t>4.1. Action plan: Is the action plan for implementing the action clear and feasible? Are types of activities clearly clustered by output in the Activities Matrix? Is the timeline realistic?</w:t>
            </w:r>
          </w:p>
        </w:tc>
        <w:tc>
          <w:tcPr>
            <w:tcW w:w="1275" w:type="dxa"/>
          </w:tcPr>
          <w:p w14:paraId="2C2FF07E"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49118340" w14:textId="77777777" w:rsidTr="00DF6F65">
        <w:tc>
          <w:tcPr>
            <w:tcW w:w="8472" w:type="dxa"/>
          </w:tcPr>
          <w:p w14:paraId="4D21C72B" w14:textId="77777777" w:rsidR="007F332A" w:rsidRPr="00E94A3D" w:rsidRDefault="007F332A" w:rsidP="00F36C74">
            <w:pPr>
              <w:spacing w:after="120" w:line="240" w:lineRule="atLeast"/>
              <w:ind w:left="340" w:hanging="340"/>
              <w:rPr>
                <w:szCs w:val="22"/>
              </w:rPr>
            </w:pPr>
            <w:r w:rsidRPr="00E94A3D">
              <w:rPr>
                <w:noProof/>
                <w:szCs w:val="22"/>
              </w:rPr>
              <w:t>4.2. Monitoring, reporting and evaluation: Does the proposal include an effective and efficient monitoring and reporting system? Is the system in place adequate to update the values of the indicators included in the Logical Framework Matrix - thus informing regularly on progress towards the achievement of impact, outcomes and outputs? Is there an evaluation planned and budgeted (previous, during or/and at the end of the implementation)? If relevant, is the role of third party assessor included?</w:t>
            </w:r>
          </w:p>
        </w:tc>
        <w:tc>
          <w:tcPr>
            <w:tcW w:w="1275" w:type="dxa"/>
          </w:tcPr>
          <w:p w14:paraId="23E2A646"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272C21E5" w14:textId="77777777" w:rsidTr="00DF6F65">
        <w:tc>
          <w:tcPr>
            <w:tcW w:w="8472" w:type="dxa"/>
          </w:tcPr>
          <w:p w14:paraId="3FE51474" w14:textId="77777777" w:rsidR="007F332A" w:rsidRPr="00E94A3D" w:rsidRDefault="007F332A" w:rsidP="00F36C74">
            <w:pPr>
              <w:spacing w:after="120" w:line="240" w:lineRule="atLeast"/>
              <w:ind w:left="340" w:hanging="340"/>
              <w:rPr>
                <w:szCs w:val="22"/>
              </w:rPr>
            </w:pPr>
            <w:r w:rsidRPr="00E94A3D">
              <w:rPr>
                <w:noProof/>
                <w:szCs w:val="22"/>
              </w:rPr>
              <w:t>4.3. Project management (technical): Do the co-applicant(s) and (if applicable) their affiliated entities have the necessary technical skills to attain the objectives of the action? Are the co-applicant(s)’s and affiliated entity(ies)’s adequately involved in the implementation (e.g. advocacy, research, capacity building, outreach related activities)?</w:t>
            </w:r>
          </w:p>
        </w:tc>
        <w:tc>
          <w:tcPr>
            <w:tcW w:w="1275" w:type="dxa"/>
          </w:tcPr>
          <w:p w14:paraId="524E76B0"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36E075DC" w14:textId="77777777" w:rsidTr="00DF6F65">
        <w:tc>
          <w:tcPr>
            <w:tcW w:w="8472" w:type="dxa"/>
            <w:shd w:val="pct10" w:color="auto" w:fill="FFFFFF"/>
            <w:vAlign w:val="center"/>
          </w:tcPr>
          <w:p w14:paraId="631D0D81" w14:textId="77777777" w:rsidR="007F332A" w:rsidRPr="00E94A3D" w:rsidRDefault="007F332A" w:rsidP="00F36C74">
            <w:pPr>
              <w:spacing w:after="120" w:line="240" w:lineRule="atLeast"/>
              <w:rPr>
                <w:szCs w:val="22"/>
              </w:rPr>
            </w:pPr>
            <w:r w:rsidRPr="00E94A3D">
              <w:rPr>
                <w:szCs w:val="22"/>
              </w:rPr>
              <w:br w:type="page"/>
            </w:r>
            <w:r w:rsidRPr="00E94A3D">
              <w:rPr>
                <w:b/>
                <w:szCs w:val="22"/>
              </w:rPr>
              <w:t xml:space="preserve">5. </w:t>
            </w:r>
            <w:r w:rsidRPr="00E94A3D">
              <w:rPr>
                <w:b/>
                <w:noProof/>
                <w:szCs w:val="22"/>
              </w:rPr>
              <w:t>Sustainability of the action</w:t>
            </w:r>
          </w:p>
        </w:tc>
        <w:tc>
          <w:tcPr>
            <w:tcW w:w="1275" w:type="dxa"/>
            <w:shd w:val="pct10" w:color="auto" w:fill="FFFFFF"/>
            <w:vAlign w:val="center"/>
          </w:tcPr>
          <w:p w14:paraId="6C9BFA5B" w14:textId="77777777" w:rsidR="007F332A" w:rsidRPr="00E94A3D" w:rsidRDefault="007F332A" w:rsidP="00F36C74">
            <w:pPr>
              <w:spacing w:after="120" w:line="240" w:lineRule="atLeast"/>
              <w:jc w:val="center"/>
              <w:rPr>
                <w:b/>
                <w:szCs w:val="22"/>
              </w:rPr>
            </w:pPr>
            <w:r w:rsidRPr="00E94A3D">
              <w:rPr>
                <w:b/>
                <w:noProof/>
                <w:szCs w:val="22"/>
              </w:rPr>
              <w:t>15</w:t>
            </w:r>
          </w:p>
        </w:tc>
      </w:tr>
      <w:tr w:rsidR="007F332A" w:rsidRPr="00807DAF" w14:paraId="170DC96D" w14:textId="77777777" w:rsidTr="00DF6F65">
        <w:tc>
          <w:tcPr>
            <w:tcW w:w="8472" w:type="dxa"/>
          </w:tcPr>
          <w:p w14:paraId="5C165C0D" w14:textId="77777777" w:rsidR="007F332A" w:rsidRPr="00E94A3D" w:rsidRDefault="007F332A" w:rsidP="00F36C74">
            <w:pPr>
              <w:spacing w:after="120" w:line="240" w:lineRule="atLeast"/>
              <w:ind w:left="340" w:hanging="340"/>
              <w:rPr>
                <w:szCs w:val="22"/>
              </w:rPr>
            </w:pPr>
            <w:r w:rsidRPr="00E94A3D">
              <w:rPr>
                <w:noProof/>
                <w:szCs w:val="22"/>
              </w:rPr>
              <w:t>5.1. Long-lasting benefits: Is the action likely to ensure long lasting and transformative benefits to the target groups and the final beneficiaries?</w:t>
            </w:r>
          </w:p>
        </w:tc>
        <w:tc>
          <w:tcPr>
            <w:tcW w:w="1275" w:type="dxa"/>
          </w:tcPr>
          <w:p w14:paraId="60D64479"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57E02FEE" w14:textId="77777777" w:rsidTr="00DF6F65">
        <w:tc>
          <w:tcPr>
            <w:tcW w:w="8472" w:type="dxa"/>
          </w:tcPr>
          <w:p w14:paraId="06F50A8E" w14:textId="77777777" w:rsidR="007F332A" w:rsidRPr="00E94A3D" w:rsidRDefault="007F332A" w:rsidP="00F36C74">
            <w:pPr>
              <w:spacing w:after="120" w:line="240" w:lineRule="atLeast"/>
              <w:ind w:left="340" w:hanging="340"/>
              <w:rPr>
                <w:szCs w:val="22"/>
              </w:rPr>
            </w:pPr>
            <w:r w:rsidRPr="00E94A3D">
              <w:rPr>
                <w:noProof/>
                <w:szCs w:val="22"/>
              </w:rPr>
              <w:t>5.2. Multiplier effects: Is the action likely to have multiplier effects, including scope for replication, extension, cross-fertilisation of experience and knowledge sharing?</w:t>
            </w:r>
          </w:p>
        </w:tc>
        <w:tc>
          <w:tcPr>
            <w:tcW w:w="1275" w:type="dxa"/>
          </w:tcPr>
          <w:p w14:paraId="01A2A6A8"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5F6B7434" w14:textId="77777777" w:rsidTr="00DF6F65">
        <w:tc>
          <w:tcPr>
            <w:tcW w:w="8472" w:type="dxa"/>
          </w:tcPr>
          <w:p w14:paraId="4E9BA071" w14:textId="77777777" w:rsidR="007F332A" w:rsidRPr="00E94A3D" w:rsidRDefault="007F332A" w:rsidP="00F36C74">
            <w:pPr>
              <w:spacing w:after="120" w:line="240" w:lineRule="atLeast"/>
              <w:ind w:left="340" w:hanging="340"/>
              <w:rPr>
                <w:szCs w:val="22"/>
              </w:rPr>
            </w:pPr>
            <w:r w:rsidRPr="00E94A3D">
              <w:rPr>
                <w:noProof/>
                <w:szCs w:val="22"/>
              </w:rPr>
              <w:t>5.3. Sustainability How likely the effects are to last after the intervention ends?- Financial sustainability: which financial resources are available to fund the continuation of the services provided by the intervention? How long are they likely to be available and from which sources?)- Institutional sustainability: which institutional arrangements allow for maintaining the benefits achieved? Is there any measure in place to ensure local ownership?- Policy level sustainability (if applicable): is there any expected policy related effect from the action, e.g. improved legislation, codes of conduct, methods- Environmental sustainability (if applicable): will the action have a negative/positive environmental impact?- Risk analysis and mitigation measures: will the action be accompanied by a good risk analysis (including physical, environmental, political, economic and social risks) and relevant mitigation measures?</w:t>
            </w:r>
          </w:p>
        </w:tc>
        <w:tc>
          <w:tcPr>
            <w:tcW w:w="1275" w:type="dxa"/>
          </w:tcPr>
          <w:p w14:paraId="4366F255" w14:textId="77777777" w:rsidR="007F332A" w:rsidRPr="00E94A3D" w:rsidRDefault="007F332A" w:rsidP="00F36C74">
            <w:pPr>
              <w:spacing w:after="120" w:line="240" w:lineRule="atLeast"/>
              <w:jc w:val="center"/>
              <w:rPr>
                <w:szCs w:val="22"/>
              </w:rPr>
            </w:pPr>
            <w:r w:rsidRPr="00E94A3D">
              <w:rPr>
                <w:noProof/>
                <w:szCs w:val="22"/>
              </w:rPr>
              <w:t>5</w:t>
            </w:r>
          </w:p>
        </w:tc>
      </w:tr>
      <w:tr w:rsidR="007F332A" w:rsidRPr="00807DAF" w14:paraId="40B62D55" w14:textId="77777777" w:rsidTr="00F254E7">
        <w:tc>
          <w:tcPr>
            <w:tcW w:w="8472" w:type="dxa"/>
            <w:shd w:val="clear" w:color="auto" w:fill="E5E5E5"/>
            <w:vAlign w:val="center"/>
          </w:tcPr>
          <w:p w14:paraId="3855DA1D" w14:textId="77777777" w:rsidR="007F332A" w:rsidRPr="00E94A3D" w:rsidRDefault="007F332A" w:rsidP="00F36C74">
            <w:pPr>
              <w:spacing w:after="120" w:line="240" w:lineRule="atLeast"/>
              <w:rPr>
                <w:szCs w:val="22"/>
              </w:rPr>
            </w:pPr>
            <w:r w:rsidRPr="00E94A3D">
              <w:rPr>
                <w:szCs w:val="22"/>
              </w:rPr>
              <w:br w:type="page"/>
            </w:r>
            <w:r w:rsidR="00C8195B">
              <w:rPr>
                <w:b/>
                <w:szCs w:val="22"/>
              </w:rPr>
              <w:t>6</w:t>
            </w:r>
            <w:r w:rsidRPr="00E94A3D">
              <w:rPr>
                <w:b/>
                <w:szCs w:val="22"/>
              </w:rPr>
              <w:t xml:space="preserve">. </w:t>
            </w:r>
            <w:r>
              <w:rPr>
                <w:b/>
                <w:noProof/>
                <w:szCs w:val="22"/>
              </w:rPr>
              <w:t>Budget and cost-effectiveness of the action</w:t>
            </w:r>
          </w:p>
        </w:tc>
        <w:tc>
          <w:tcPr>
            <w:tcW w:w="1275" w:type="dxa"/>
            <w:shd w:val="clear" w:color="auto" w:fill="E5E5E5"/>
            <w:vAlign w:val="center"/>
          </w:tcPr>
          <w:p w14:paraId="509D619A" w14:textId="77777777" w:rsidR="007F332A" w:rsidRPr="00E94A3D" w:rsidRDefault="007F332A" w:rsidP="00F36C74">
            <w:pPr>
              <w:spacing w:after="120" w:line="240" w:lineRule="atLeast"/>
              <w:jc w:val="center"/>
              <w:rPr>
                <w:b/>
                <w:szCs w:val="22"/>
              </w:rPr>
            </w:pPr>
            <w:r>
              <w:rPr>
                <w:b/>
                <w:noProof/>
                <w:szCs w:val="22"/>
              </w:rPr>
              <w:t>15</w:t>
            </w:r>
          </w:p>
        </w:tc>
      </w:tr>
      <w:tr w:rsidR="007F332A" w:rsidRPr="00807DAF" w14:paraId="0AF6C06C" w14:textId="77777777" w:rsidTr="00DF6F65">
        <w:tc>
          <w:tcPr>
            <w:tcW w:w="8472" w:type="dxa"/>
          </w:tcPr>
          <w:p w14:paraId="27F5EE4C" w14:textId="77777777" w:rsidR="007F332A" w:rsidRPr="00E94A3D" w:rsidRDefault="007F332A" w:rsidP="00F36C74">
            <w:pPr>
              <w:spacing w:after="120" w:line="240" w:lineRule="atLeast"/>
              <w:ind w:left="340" w:hanging="340"/>
              <w:rPr>
                <w:szCs w:val="22"/>
              </w:rPr>
            </w:pPr>
            <w:r>
              <w:rPr>
                <w:noProof/>
                <w:szCs w:val="22"/>
              </w:rPr>
              <w:t>6.1. Budget: Are the activities appropriately reflected in the budget? In the case of entire of partly use of financing not linked to costs, are the results and performance indicators adequately reflected in the budget?</w:t>
            </w:r>
          </w:p>
        </w:tc>
        <w:tc>
          <w:tcPr>
            <w:tcW w:w="1275" w:type="dxa"/>
          </w:tcPr>
          <w:p w14:paraId="20C399FA" w14:textId="77777777" w:rsidR="007F332A" w:rsidRPr="00E94A3D" w:rsidRDefault="007F332A" w:rsidP="00F36C74">
            <w:pPr>
              <w:spacing w:after="120" w:line="240" w:lineRule="atLeast"/>
              <w:jc w:val="center"/>
              <w:rPr>
                <w:szCs w:val="22"/>
              </w:rPr>
            </w:pPr>
            <w:r>
              <w:rPr>
                <w:noProof/>
                <w:szCs w:val="22"/>
              </w:rPr>
              <w:t>5</w:t>
            </w:r>
          </w:p>
        </w:tc>
      </w:tr>
      <w:tr w:rsidR="007F332A" w:rsidRPr="00807DAF" w14:paraId="3F8F0B20" w14:textId="77777777" w:rsidTr="00DF6F65">
        <w:tc>
          <w:tcPr>
            <w:tcW w:w="8472" w:type="dxa"/>
          </w:tcPr>
          <w:p w14:paraId="3740B658" w14:textId="77777777" w:rsidR="007F332A" w:rsidRPr="00E94A3D" w:rsidRDefault="007F332A" w:rsidP="00F36C74">
            <w:pPr>
              <w:spacing w:after="120" w:line="240" w:lineRule="atLeast"/>
              <w:ind w:left="340" w:hanging="340"/>
              <w:rPr>
                <w:szCs w:val="22"/>
              </w:rPr>
            </w:pPr>
            <w:r>
              <w:rPr>
                <w:noProof/>
                <w:szCs w:val="22"/>
              </w:rPr>
              <w:lastRenderedPageBreak/>
              <w:t>6.2. Efficiency: Is the relation between the estimated amounts as per budget and the expected results adequate?</w:t>
            </w:r>
          </w:p>
        </w:tc>
        <w:tc>
          <w:tcPr>
            <w:tcW w:w="1275" w:type="dxa"/>
          </w:tcPr>
          <w:p w14:paraId="48A00FE8" w14:textId="77777777" w:rsidR="007F332A" w:rsidRPr="00E94A3D" w:rsidRDefault="007F332A" w:rsidP="00F36C74">
            <w:pPr>
              <w:spacing w:after="120" w:line="240" w:lineRule="atLeast"/>
              <w:jc w:val="center"/>
              <w:rPr>
                <w:szCs w:val="22"/>
              </w:rPr>
            </w:pPr>
            <w:r>
              <w:rPr>
                <w:noProof/>
                <w:szCs w:val="22"/>
              </w:rPr>
              <w:t>5x2**</w:t>
            </w:r>
          </w:p>
        </w:tc>
      </w:tr>
      <w:tr w:rsidR="007F332A" w:rsidRPr="00807DAF" w14:paraId="620CB90F" w14:textId="77777777" w:rsidTr="00DF6F65">
        <w:tc>
          <w:tcPr>
            <w:tcW w:w="8472" w:type="dxa"/>
            <w:shd w:val="pct10" w:color="auto" w:fill="FFFFFF"/>
            <w:vAlign w:val="center"/>
          </w:tcPr>
          <w:p w14:paraId="6DAAAE47" w14:textId="77777777" w:rsidR="007F332A" w:rsidRPr="00E94A3D" w:rsidRDefault="007F332A" w:rsidP="00F36C74">
            <w:pPr>
              <w:spacing w:after="120" w:line="240" w:lineRule="atLeast"/>
              <w:rPr>
                <w:b/>
                <w:szCs w:val="22"/>
              </w:rPr>
            </w:pPr>
            <w:r w:rsidRPr="00E94A3D">
              <w:rPr>
                <w:b/>
                <w:szCs w:val="22"/>
              </w:rPr>
              <w:t>Maximum total score</w:t>
            </w:r>
          </w:p>
        </w:tc>
        <w:tc>
          <w:tcPr>
            <w:tcW w:w="1275" w:type="dxa"/>
            <w:shd w:val="pct10" w:color="auto" w:fill="FFFFFF"/>
            <w:vAlign w:val="center"/>
          </w:tcPr>
          <w:p w14:paraId="47ECC9F6" w14:textId="77777777" w:rsidR="007F332A" w:rsidRPr="00E94A3D" w:rsidRDefault="007F332A" w:rsidP="00F36C74">
            <w:pPr>
              <w:keepNext/>
              <w:spacing w:after="120" w:line="240" w:lineRule="atLeast"/>
              <w:jc w:val="center"/>
              <w:rPr>
                <w:b/>
                <w:szCs w:val="22"/>
              </w:rPr>
            </w:pPr>
            <w:r w:rsidRPr="00E94A3D">
              <w:rPr>
                <w:b/>
                <w:noProof/>
                <w:szCs w:val="22"/>
              </w:rPr>
              <w:t>100</w:t>
            </w:r>
          </w:p>
        </w:tc>
      </w:tr>
    </w:tbl>
    <w:p w14:paraId="1D24545C" w14:textId="77777777" w:rsidR="0086780C" w:rsidRDefault="005B7EA6" w:rsidP="00F36C74">
      <w:pPr>
        <w:pStyle w:val="Beschriftung"/>
        <w:spacing w:after="120" w:line="240" w:lineRule="atLeast"/>
      </w:pPr>
      <w:r w:rsidRPr="005B7EA6">
        <w:t>**: this score is multiplied by 2 because of its importance</w:t>
      </w:r>
    </w:p>
    <w:p w14:paraId="15C51415" w14:textId="77777777" w:rsidR="00F248A3" w:rsidRDefault="00F248A3" w:rsidP="00F36C74">
      <w:pPr>
        <w:spacing w:after="120" w:line="240" w:lineRule="atLeast"/>
      </w:pPr>
      <w:r w:rsidRPr="00807DAF">
        <w:t xml:space="preserve">If the </w:t>
      </w:r>
      <w:r w:rsidR="00281295" w:rsidRPr="00807DAF">
        <w:t xml:space="preserve">total score for </w:t>
      </w:r>
      <w:r w:rsidR="00853E40">
        <w:t>S</w:t>
      </w:r>
      <w:r w:rsidR="00281295" w:rsidRPr="00807DAF">
        <w:t xml:space="preserve">ection 1 </w:t>
      </w:r>
      <w:r w:rsidR="0086780C">
        <w:t xml:space="preserve">(financial and operational capacity) </w:t>
      </w:r>
      <w:r w:rsidR="00281295" w:rsidRPr="00807DAF">
        <w:t>is less than 12 points</w:t>
      </w:r>
      <w:r w:rsidR="00B10F3E" w:rsidRPr="00807DAF">
        <w:t>,</w:t>
      </w:r>
      <w:r w:rsidRPr="00807DAF">
        <w:t xml:space="preserve"> the application will be rejected.</w:t>
      </w:r>
      <w:r w:rsidR="00281295" w:rsidRPr="00807DAF">
        <w:t xml:space="preserve"> If the score for at least one of the subsections under </w:t>
      </w:r>
      <w:r w:rsidR="00853E40">
        <w:t>S</w:t>
      </w:r>
      <w:r w:rsidR="00281295" w:rsidRPr="00807DAF">
        <w:t>ection 1 is 1, the application will also be rejected.</w:t>
      </w:r>
    </w:p>
    <w:p w14:paraId="44A0281F" w14:textId="77777777" w:rsidR="00B975FF" w:rsidRPr="00807DAF" w:rsidRDefault="00B975FF" w:rsidP="00F36C74">
      <w:pPr>
        <w:spacing w:after="120" w:line="240" w:lineRule="atLeast"/>
      </w:pPr>
      <w:r>
        <w:t xml:space="preserve">If the lead applicant applies without co-applicants or affiliated entities the score for point </w:t>
      </w:r>
      <w:r w:rsidR="00520145">
        <w:t>4</w:t>
      </w:r>
      <w:r w:rsidR="00F21DAD">
        <w:t>.3</w:t>
      </w:r>
      <w:r>
        <w:t xml:space="preserve"> shall be 5 unless the involvement of co-applicants or affiliated entities is mandatory according to these guidelines for applicants.  </w:t>
      </w:r>
    </w:p>
    <w:p w14:paraId="4F2FF378" w14:textId="77777777" w:rsidR="00ED5802" w:rsidRPr="00807DAF" w:rsidRDefault="00ED5802" w:rsidP="00F36C74">
      <w:pPr>
        <w:spacing w:after="120" w:line="240" w:lineRule="atLeast"/>
        <w:rPr>
          <w:i/>
        </w:rPr>
      </w:pPr>
      <w:r w:rsidRPr="00807DAF">
        <w:rPr>
          <w:i/>
        </w:rPr>
        <w:t>Provisional selection</w:t>
      </w:r>
    </w:p>
    <w:p w14:paraId="7D9C23FF" w14:textId="77777777" w:rsidR="00ED5802" w:rsidRDefault="008F3758" w:rsidP="00F36C74">
      <w:pPr>
        <w:spacing w:after="120" w:line="240" w:lineRule="atLeast"/>
      </w:pPr>
      <w:r w:rsidRPr="00807DAF">
        <w:t xml:space="preserve">After </w:t>
      </w:r>
      <w:r w:rsidR="00ED5802" w:rsidRPr="00807DAF">
        <w:t xml:space="preserve">the evaluation, a table </w:t>
      </w:r>
      <w:r w:rsidRPr="00807DAF">
        <w:t xml:space="preserve">will be drawn up </w:t>
      </w:r>
      <w:r w:rsidR="00ED5802" w:rsidRPr="00807DAF">
        <w:t xml:space="preserve">listing the </w:t>
      </w:r>
      <w:r w:rsidR="006459C5" w:rsidRPr="00807DAF">
        <w:t>application</w:t>
      </w:r>
      <w:r w:rsidR="00ED5802" w:rsidRPr="00807DAF">
        <w:t>s ranked according to their score</w:t>
      </w:r>
      <w:r w:rsidR="0086780C">
        <w:t>.</w:t>
      </w:r>
      <w:r w:rsidR="00ED5802" w:rsidRPr="00807DAF">
        <w:t xml:space="preserve"> </w:t>
      </w:r>
      <w:r w:rsidR="0086780C">
        <w:t xml:space="preserve">The highest scoring applications will be provisionally selected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r w:rsidR="004113FC" w:rsidRPr="00807DAF">
        <w:t xml:space="preserve">will be drawn up </w:t>
      </w:r>
      <w:r w:rsidR="00ED5802" w:rsidRPr="00807DAF">
        <w:t>following the same criteria</w:t>
      </w:r>
      <w:r w:rsidR="002A1D7C">
        <w:t>.</w:t>
      </w:r>
      <w:r w:rsidR="004113FC" w:rsidRPr="00807DAF">
        <w:t xml:space="preserve"> </w:t>
      </w:r>
      <w:r w:rsidR="002A1D7C">
        <w:t xml:space="preserve">This list will be </w:t>
      </w:r>
      <w:r w:rsidR="004113FC" w:rsidRPr="00807DAF">
        <w:t>used if more funds become available during the validity period of the reserve list</w:t>
      </w:r>
      <w:r w:rsidR="00ED5802" w:rsidRPr="00807DAF">
        <w:t>.</w:t>
      </w:r>
      <w:r w:rsidR="00243ECE">
        <w:t xml:space="preserve"> The </w:t>
      </w:r>
      <w:r w:rsidR="00243ECE" w:rsidRPr="00935E92">
        <w:t xml:space="preserve">contracting authority informs </w:t>
      </w:r>
      <w:r w:rsidR="00243ECE">
        <w:t>those</w:t>
      </w:r>
      <w:r w:rsidR="00243ECE" w:rsidRPr="00935E92">
        <w:t xml:space="preserve"> lead applicants </w:t>
      </w:r>
      <w:r w:rsidR="00243ECE">
        <w:t>provisionally selected and t</w:t>
      </w:r>
      <w:r w:rsidR="00914C14">
        <w:t>hose placed on the reserve list</w:t>
      </w:r>
      <w:r w:rsidR="00243ECE">
        <w:t xml:space="preserve"> that they will be subject to the final eligibility check.  </w:t>
      </w:r>
    </w:p>
    <w:p w14:paraId="6A1DF2EF" w14:textId="77777777" w:rsidR="00243ECE" w:rsidRPr="00807DAF" w:rsidRDefault="00243ECE" w:rsidP="00F36C74">
      <w:pPr>
        <w:spacing w:after="120" w:line="240" w:lineRule="atLeast"/>
      </w:pPr>
    </w:p>
    <w:p w14:paraId="19FD9A10" w14:textId="77777777" w:rsidR="0000050E" w:rsidRPr="0000050E" w:rsidRDefault="0000050E" w:rsidP="00EA610C">
      <w:pPr>
        <w:pStyle w:val="Guidelines3"/>
        <w:numPr>
          <w:ilvl w:val="2"/>
          <w:numId w:val="6"/>
        </w:numPr>
      </w:pPr>
      <w:bookmarkStart w:id="90" w:name="_Toc185257689"/>
      <w:r w:rsidRPr="001B7D50">
        <w:t>STEP 3: VERIFICATION OF ELIGIBILITY OF THE APPLICANTS AND AFFILIATED ENTITY(IES)</w:t>
      </w:r>
      <w:r w:rsidR="00C27B90">
        <w:t xml:space="preserve"> AND OTHER SUPPORTING DOCUMENTS</w:t>
      </w:r>
      <w:bookmarkEnd w:id="90"/>
    </w:p>
    <w:p w14:paraId="310C061F" w14:textId="77777777" w:rsidR="00F20A9C" w:rsidRPr="00807DAF" w:rsidRDefault="006C1232" w:rsidP="001B7D50">
      <w:pPr>
        <w:tabs>
          <w:tab w:val="left" w:pos="426"/>
          <w:tab w:val="left" w:pos="709"/>
        </w:tabs>
        <w:spacing w:after="120" w:line="240" w:lineRule="atLeast"/>
      </w:pPr>
      <w:r w:rsidRPr="00807DAF">
        <w:t>T</w:t>
      </w:r>
      <w:r w:rsidR="00F20A9C" w:rsidRPr="00807DAF">
        <w:t>he eligibility verification</w:t>
      </w:r>
      <w:r w:rsidR="00E43789">
        <w:t xml:space="preserve"> will be performed on the basis of </w:t>
      </w:r>
      <w:r w:rsidR="0087633A" w:rsidRPr="00807DAF">
        <w:t xml:space="preserve">the supporting documents requested </w:t>
      </w:r>
      <w:r w:rsidR="006D1FC0" w:rsidRPr="00807DAF">
        <w:t xml:space="preserve">by </w:t>
      </w:r>
      <w:r w:rsidR="0087633A" w:rsidRPr="00807DAF">
        <w:t xml:space="preserve">the </w:t>
      </w:r>
      <w:r w:rsidR="00A11755">
        <w:t>c</w:t>
      </w:r>
      <w:r w:rsidR="0087633A" w:rsidRPr="00807DAF">
        <w:t xml:space="preserve">ontracting </w:t>
      </w:r>
      <w:r w:rsidR="00A11755">
        <w:t>a</w:t>
      </w:r>
      <w:r w:rsidR="0087633A" w:rsidRPr="00807DAF">
        <w:t xml:space="preserve">uthority (see </w:t>
      </w:r>
      <w:r w:rsidR="00A11755">
        <w:t>S</w:t>
      </w:r>
      <w:r w:rsidR="00896ECA" w:rsidRPr="00807DAF">
        <w:t>ection</w:t>
      </w:r>
      <w:r w:rsidR="00ED5802" w:rsidRPr="00807DAF">
        <w:t xml:space="preserve"> </w:t>
      </w:r>
      <w:r w:rsidR="0087633A" w:rsidRPr="00807DAF">
        <w:t>2.</w:t>
      </w:r>
      <w:r w:rsidR="00CF3B99">
        <w:t>2.</w:t>
      </w:r>
      <w:r w:rsidR="0087633A" w:rsidRPr="00807DAF">
        <w:t>)</w:t>
      </w:r>
      <w:r w:rsidR="00E43789">
        <w:t>. It</w:t>
      </w:r>
      <w:r w:rsidR="00F20A9C" w:rsidRPr="00807DAF">
        <w:t xml:space="preserve"> will </w:t>
      </w:r>
      <w:r w:rsidR="000E2AF6">
        <w:t xml:space="preserve">by default </w:t>
      </w:r>
      <w:r w:rsidR="00F20A9C" w:rsidRPr="00807DAF">
        <w:rPr>
          <w:u w:val="single"/>
        </w:rPr>
        <w:t>only</w:t>
      </w:r>
      <w:r w:rsidR="00F20A9C" w:rsidRPr="00807DAF">
        <w:t xml:space="preserve"> be performed for the </w:t>
      </w:r>
      <w:r w:rsidR="00577465" w:rsidRPr="00807DAF">
        <w:t xml:space="preserve">applications </w:t>
      </w:r>
      <w:r w:rsidRPr="00807DAF">
        <w:t xml:space="preserve">that have been </w:t>
      </w:r>
      <w:r w:rsidR="0049630B" w:rsidRPr="00807DAF">
        <w:t>provisionally</w:t>
      </w:r>
      <w:r w:rsidR="009C1C8B" w:rsidRPr="00807DAF">
        <w:t xml:space="preserve"> </w:t>
      </w:r>
      <w:r w:rsidR="007A3169" w:rsidRPr="00807DAF">
        <w:t>selected</w:t>
      </w:r>
      <w:r w:rsidRPr="00807DAF">
        <w:t xml:space="preserve"> </w:t>
      </w:r>
      <w:r w:rsidR="00B719E5">
        <w:t xml:space="preserve">(including those placed on the reserve list) </w:t>
      </w:r>
      <w:r w:rsidRPr="00807DAF">
        <w:t xml:space="preserve">according to their score and within the available </w:t>
      </w:r>
      <w:r w:rsidR="00E43789">
        <w:t>budget for this call for proposals</w:t>
      </w:r>
      <w:r w:rsidRPr="00807DAF">
        <w:t xml:space="preserve">. </w:t>
      </w:r>
      <w:r w:rsidR="00937483">
        <w:t>In this case:</w:t>
      </w:r>
    </w:p>
    <w:p w14:paraId="3553907B" w14:textId="77777777" w:rsidR="00FC4EAA" w:rsidRPr="00807DAF" w:rsidRDefault="007A3169" w:rsidP="00EA610C">
      <w:pPr>
        <w:numPr>
          <w:ilvl w:val="0"/>
          <w:numId w:val="17"/>
        </w:numPr>
        <w:spacing w:after="120" w:line="240" w:lineRule="atLeast"/>
      </w:pPr>
      <w:r w:rsidRPr="00807DAF">
        <w:t xml:space="preserve">The </w:t>
      </w:r>
      <w:r w:rsidR="00717ADB">
        <w:t>d</w:t>
      </w:r>
      <w:r w:rsidR="007F1763" w:rsidRPr="00807DAF">
        <w:t>eclaration</w:t>
      </w:r>
      <w:r w:rsidRPr="00807DAF">
        <w:t xml:space="preserve"> by the </w:t>
      </w:r>
      <w:r w:rsidR="00504963">
        <w:t>lead a</w:t>
      </w:r>
      <w:r w:rsidRPr="00807DAF">
        <w:t>pplicant (</w:t>
      </w:r>
      <w:r w:rsidR="00A11755">
        <w:t>S</w:t>
      </w:r>
      <w:r w:rsidRPr="00807DAF">
        <w:t xml:space="preserve">ection </w:t>
      </w:r>
      <w:r w:rsidR="00E92E8A">
        <w:t>5</w:t>
      </w:r>
      <w:r w:rsidR="00B971F7" w:rsidRPr="00807DAF">
        <w:t xml:space="preserve"> </w:t>
      </w:r>
      <w:r w:rsidRPr="00807DAF">
        <w:t xml:space="preserve">of </w:t>
      </w:r>
      <w:r w:rsidR="00E92E8A">
        <w:t>Annex A.2</w:t>
      </w:r>
      <w:r w:rsidRPr="00807DAF">
        <w:t>)</w:t>
      </w:r>
      <w:r w:rsidR="001558C4">
        <w:t xml:space="preserve"> </w:t>
      </w:r>
      <w:r w:rsidRPr="00807DAF">
        <w:t>will be cross-</w:t>
      </w:r>
      <w:r w:rsidR="00CF3CC3" w:rsidRPr="00807DAF">
        <w:t xml:space="preserve">checked </w:t>
      </w:r>
      <w:r w:rsidRPr="00807DAF">
        <w:t xml:space="preserve">with the supporting documents provided by the </w:t>
      </w:r>
      <w:r w:rsidR="00504963">
        <w:t>lead a</w:t>
      </w:r>
      <w:r w:rsidRPr="00807DAF">
        <w:t>pplicant</w:t>
      </w:r>
      <w:r w:rsidR="00F20A9C" w:rsidRPr="00807DAF">
        <w:t xml:space="preserve">. Any </w:t>
      </w:r>
      <w:r w:rsidR="0087633A" w:rsidRPr="00807DAF">
        <w:t xml:space="preserve">missing supporting document or any </w:t>
      </w:r>
      <w:r w:rsidR="00F20A9C" w:rsidRPr="00807DAF">
        <w:t xml:space="preserve">incoherence between the </w:t>
      </w:r>
      <w:r w:rsidR="00717ADB">
        <w:t>d</w:t>
      </w:r>
      <w:r w:rsidR="00F20A9C" w:rsidRPr="00807DAF">
        <w:t xml:space="preserve">eclaration by the </w:t>
      </w:r>
      <w:r w:rsidR="00504963">
        <w:t>lead a</w:t>
      </w:r>
      <w:r w:rsidR="00F20A9C" w:rsidRPr="00807DAF">
        <w:t xml:space="preserve">pplicant and the supporting documents </w:t>
      </w:r>
      <w:r w:rsidR="007F45D1" w:rsidRPr="00807DAF">
        <w:t>may</w:t>
      </w:r>
      <w:r w:rsidR="00F20A9C" w:rsidRPr="00807DAF">
        <w:t xml:space="preserve"> lead to the rejection of the </w:t>
      </w:r>
      <w:r w:rsidR="006459C5" w:rsidRPr="00807DAF">
        <w:t>application</w:t>
      </w:r>
      <w:r w:rsidR="00F20A9C" w:rsidRPr="00807DAF">
        <w:t xml:space="preserve"> on that sole basis. </w:t>
      </w:r>
    </w:p>
    <w:p w14:paraId="61DA8185" w14:textId="77777777" w:rsidR="00FC4EAA" w:rsidRPr="00807DAF" w:rsidRDefault="0029175E" w:rsidP="00EA610C">
      <w:pPr>
        <w:numPr>
          <w:ilvl w:val="0"/>
          <w:numId w:val="17"/>
        </w:numPr>
        <w:spacing w:after="120" w:line="240" w:lineRule="atLeast"/>
      </w:pPr>
      <w:r w:rsidRPr="00807DAF">
        <w:t>T</w:t>
      </w:r>
      <w:r w:rsidR="007F45D1" w:rsidRPr="00807DAF">
        <w:t>he eligibility of</w:t>
      </w:r>
      <w:r w:rsidR="00FC4EAA" w:rsidRPr="00807DAF">
        <w:t xml:space="preserve"> applicant</w:t>
      </w:r>
      <w:r w:rsidR="009901E5" w:rsidRPr="00807DAF">
        <w:t>s</w:t>
      </w:r>
      <w:r w:rsidR="00E80733">
        <w:t xml:space="preserve"> and</w:t>
      </w:r>
      <w:r w:rsidR="00FC4EAA" w:rsidRPr="00807DAF">
        <w:t xml:space="preserve"> the </w:t>
      </w:r>
      <w:r w:rsidR="009901E5" w:rsidRPr="00807DAF">
        <w:t>affiliated entit</w:t>
      </w:r>
      <w:r w:rsidR="007D4CA7" w:rsidRPr="00807DAF">
        <w:t>y</w:t>
      </w:r>
      <w:r w:rsidR="009901E5" w:rsidRPr="00807DAF">
        <w:t>(</w:t>
      </w:r>
      <w:proofErr w:type="spellStart"/>
      <w:r w:rsidR="009901E5" w:rsidRPr="00807DAF">
        <w:t>ies</w:t>
      </w:r>
      <w:proofErr w:type="spellEnd"/>
      <w:r w:rsidR="009901E5" w:rsidRPr="00807DAF">
        <w:t>)</w:t>
      </w:r>
      <w:r w:rsidR="00FC4EAA" w:rsidRPr="00807DAF">
        <w:t xml:space="preserve"> </w:t>
      </w:r>
      <w:r w:rsidR="007F45D1" w:rsidRPr="00807DAF">
        <w:t>will be verified</w:t>
      </w:r>
      <w:r w:rsidR="00FC4EAA" w:rsidRPr="00807DAF">
        <w:t xml:space="preserve"> according to the criteria set out in </w:t>
      </w:r>
      <w:r w:rsidR="00A11755">
        <w:t>S</w:t>
      </w:r>
      <w:r w:rsidR="00896ECA" w:rsidRPr="00807DAF">
        <w:t>ection</w:t>
      </w:r>
      <w:r w:rsidR="00FC4EAA" w:rsidRPr="00807DAF">
        <w:t xml:space="preserve"> 2.1.1</w:t>
      </w:r>
      <w:r w:rsidR="00C27B90">
        <w:t>, including exclusion criteria.</w:t>
      </w:r>
    </w:p>
    <w:p w14:paraId="16A7A60F" w14:textId="77777777" w:rsidR="005D7AF3" w:rsidRDefault="008F3758" w:rsidP="00F36C74">
      <w:pPr>
        <w:spacing w:after="120" w:line="240" w:lineRule="atLeast"/>
      </w:pPr>
      <w:r w:rsidRPr="00807DAF">
        <w:t>A</w:t>
      </w:r>
      <w:r w:rsidR="00CF3CC3" w:rsidRPr="00807DAF">
        <w:t xml:space="preserve">ny rejected </w:t>
      </w:r>
      <w:r w:rsidR="006459C5" w:rsidRPr="00807DAF">
        <w:t>application</w:t>
      </w:r>
      <w:r w:rsidR="005E65D9" w:rsidRPr="00807DAF">
        <w:t xml:space="preserve"> will be replaced by the next best placed </w:t>
      </w:r>
      <w:r w:rsidR="006459C5" w:rsidRPr="00807DAF">
        <w:t>application</w:t>
      </w:r>
      <w:r w:rsidR="00B67806" w:rsidRPr="00807DAF">
        <w:t xml:space="preserve"> </w:t>
      </w:r>
      <w:r w:rsidR="007D4CA7" w:rsidRPr="00807DAF">
        <w:t>on</w:t>
      </w:r>
      <w:r w:rsidR="00B67806" w:rsidRPr="00807DAF">
        <w:t xml:space="preserve"> the reserve list that falls within the available </w:t>
      </w:r>
      <w:r w:rsidR="00E43789">
        <w:t>budget for this call for proposals</w:t>
      </w:r>
      <w:r w:rsidR="00A214A2" w:rsidRPr="00807DAF">
        <w:t>.</w:t>
      </w:r>
      <w:bookmarkStart w:id="91" w:name="_Toc40507654"/>
    </w:p>
    <w:p w14:paraId="389A3FA7" w14:textId="77777777" w:rsidR="00C92A95" w:rsidRPr="00853981" w:rsidRDefault="001558C4" w:rsidP="001B7D50">
      <w:pPr>
        <w:rPr>
          <w:b/>
          <w:smallCaps/>
        </w:rPr>
      </w:pPr>
      <w:bookmarkStart w:id="92" w:name="_Hlk163810619"/>
      <w:r w:rsidRPr="00807DAF">
        <w:t xml:space="preserve">In the eventuality that the </w:t>
      </w:r>
      <w:r>
        <w:t>evaluation committee</w:t>
      </w:r>
      <w:r w:rsidRPr="00807DAF">
        <w:t xml:space="preserve">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w:t>
      </w:r>
      <w:proofErr w:type="gramStart"/>
      <w:r w:rsidRPr="00807DAF">
        <w:t>above mentioned</w:t>
      </w:r>
      <w:proofErr w:type="gramEnd"/>
      <w:r w:rsidRPr="00807DAF">
        <w:t xml:space="preserve"> entity becomes a co-applicant for all purposes. The </w:t>
      </w:r>
      <w:r>
        <w:t>lead a</w:t>
      </w:r>
      <w:r w:rsidRPr="00807DAF">
        <w:t>pplicant has to submit the application form revised accordingly</w:t>
      </w:r>
      <w:bookmarkEnd w:id="92"/>
      <w:r w:rsidRPr="00807DAF">
        <w:t>.</w:t>
      </w:r>
      <w:bookmarkEnd w:id="91"/>
    </w:p>
    <w:p w14:paraId="1088B7F9" w14:textId="77777777" w:rsidR="001558C4" w:rsidRPr="00807DAF" w:rsidRDefault="00F37259" w:rsidP="00EA610C">
      <w:pPr>
        <w:pStyle w:val="Guidelines2"/>
        <w:numPr>
          <w:ilvl w:val="1"/>
          <w:numId w:val="6"/>
        </w:numPr>
      </w:pPr>
      <w:bookmarkStart w:id="93" w:name="_Toc185257690"/>
      <w:r>
        <w:t>Award decision</w:t>
      </w:r>
      <w:bookmarkEnd w:id="93"/>
    </w:p>
    <w:p w14:paraId="680677D0" w14:textId="77777777" w:rsidR="00DB5567" w:rsidRDefault="008B3646" w:rsidP="00F36C74">
      <w:pPr>
        <w:spacing w:after="120" w:line="240" w:lineRule="atLeast"/>
        <w:rPr>
          <w:szCs w:val="22"/>
        </w:rPr>
      </w:pPr>
      <w:bookmarkStart w:id="94" w:name="_Hlk163810655"/>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0000050E">
        <w:rPr>
          <w:szCs w:val="22"/>
        </w:rPr>
        <w:t xml:space="preserve"> (step 3)</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 xml:space="preserve">ommittee will make a final recommendation to the </w:t>
      </w:r>
      <w:r w:rsidR="00A33874">
        <w:rPr>
          <w:szCs w:val="22"/>
        </w:rPr>
        <w:t>c</w:t>
      </w:r>
      <w:r w:rsidR="00DB5567" w:rsidRPr="00807DAF">
        <w:rPr>
          <w:szCs w:val="22"/>
        </w:rPr>
        <w:t xml:space="preserve">ontracting </w:t>
      </w:r>
      <w:r w:rsidR="00A33874">
        <w:rPr>
          <w:szCs w:val="22"/>
        </w:rPr>
        <w:t>a</w:t>
      </w:r>
      <w:r w:rsidR="00DB5567" w:rsidRPr="00807DAF">
        <w:rPr>
          <w:szCs w:val="22"/>
        </w:rPr>
        <w:t>uthority</w:t>
      </w:r>
      <w:r w:rsidRPr="00807DAF">
        <w:rPr>
          <w:szCs w:val="22"/>
        </w:rPr>
        <w:t>,</w:t>
      </w:r>
      <w:r w:rsidR="00DB5567" w:rsidRPr="00807DAF">
        <w:rPr>
          <w:szCs w:val="22"/>
        </w:rPr>
        <w:t xml:space="preserve"> which will decide on the award of grants.</w:t>
      </w:r>
    </w:p>
    <w:p w14:paraId="5B2F54C8" w14:textId="77777777" w:rsidR="00F37259" w:rsidRDefault="00F37259" w:rsidP="00F36C74">
      <w:pPr>
        <w:spacing w:after="120" w:line="240" w:lineRule="atLeast"/>
        <w:rPr>
          <w:szCs w:val="22"/>
        </w:rPr>
      </w:pPr>
      <w:r>
        <w:rPr>
          <w:szCs w:val="22"/>
        </w:rPr>
        <w:t xml:space="preserve">The contracting authority may decide not to award any grants and cancel the call for proposals without having the applicants any right to compensation. </w:t>
      </w:r>
    </w:p>
    <w:p w14:paraId="41D45DEA" w14:textId="77777777" w:rsidR="00F37259" w:rsidRPr="00807DAF" w:rsidRDefault="00F37259" w:rsidP="00F36C74">
      <w:pPr>
        <w:spacing w:after="120" w:line="240" w:lineRule="atLeast"/>
        <w:rPr>
          <w:szCs w:val="22"/>
        </w:rPr>
      </w:pPr>
      <w:bookmarkStart w:id="95" w:name="_Hlk163810679"/>
      <w:r>
        <w:rPr>
          <w:szCs w:val="22"/>
        </w:rPr>
        <w:t xml:space="preserve">The award decision shall indicate the successful applicants, the </w:t>
      </w:r>
      <w:r w:rsidR="0027778E">
        <w:rPr>
          <w:szCs w:val="22"/>
        </w:rPr>
        <w:t xml:space="preserve">names of the </w:t>
      </w:r>
      <w:r>
        <w:rPr>
          <w:szCs w:val="22"/>
        </w:rPr>
        <w:t>applicants rejected, and a reserve list (if any).</w:t>
      </w:r>
      <w:bookmarkEnd w:id="94"/>
      <w:bookmarkEnd w:id="95"/>
    </w:p>
    <w:p w14:paraId="0B23AB02" w14:textId="77777777" w:rsidR="009348D1" w:rsidRPr="00807DAF" w:rsidRDefault="00B67806" w:rsidP="00EA610C">
      <w:pPr>
        <w:pStyle w:val="Guidelines2"/>
        <w:numPr>
          <w:ilvl w:val="1"/>
          <w:numId w:val="6"/>
        </w:numPr>
      </w:pPr>
      <w:bookmarkStart w:id="96" w:name="_Toc185257691"/>
      <w:r w:rsidRPr="00807DAF">
        <w:t>Notification of the Contracting Authority’s decision</w:t>
      </w:r>
      <w:bookmarkEnd w:id="96"/>
    </w:p>
    <w:p w14:paraId="72642CC3" w14:textId="77777777" w:rsidR="00061086" w:rsidRDefault="006B3FDD" w:rsidP="00F36C74">
      <w:pPr>
        <w:spacing w:after="120" w:line="240" w:lineRule="atLeast"/>
      </w:pPr>
      <w:r w:rsidRPr="00807DAF">
        <w:lastRenderedPageBreak/>
        <w:t xml:space="preserve">The </w:t>
      </w:r>
      <w:r>
        <w:t>lead a</w:t>
      </w:r>
      <w:r w:rsidRPr="00807DAF">
        <w:t xml:space="preserve">pplicants will be informed in writing of the </w:t>
      </w:r>
      <w:r w:rsidR="00C27B90">
        <w:t>c</w:t>
      </w:r>
      <w:r w:rsidR="00C27B90" w:rsidRPr="00807DAF">
        <w:t xml:space="preserve">ontracting </w:t>
      </w:r>
      <w:r w:rsidR="00C27B90">
        <w:t>a</w:t>
      </w:r>
      <w:r w:rsidR="00C27B90" w:rsidRPr="00807DAF">
        <w:t xml:space="preserve">uthority’s </w:t>
      </w:r>
      <w:r w:rsidRPr="00807DAF">
        <w:t>decision concerning their application</w:t>
      </w:r>
      <w:r w:rsidR="00061086">
        <w:t>.</w:t>
      </w:r>
    </w:p>
    <w:p w14:paraId="08162829" w14:textId="77777777" w:rsidR="00061086" w:rsidRDefault="00061086" w:rsidP="00F36C74">
      <w:pPr>
        <w:spacing w:after="120" w:line="240" w:lineRule="atLeast"/>
      </w:pPr>
      <w:r>
        <w:t xml:space="preserve">In case of rejection, they will be informed about the reasons for the </w:t>
      </w:r>
      <w:r w:rsidRPr="00807DAF">
        <w:t xml:space="preserve">negative decision. </w:t>
      </w:r>
      <w:r>
        <w:t>For the avoidance of doubt, please note that for a</w:t>
      </w:r>
      <w:r w:rsidRPr="00F9130D">
        <w:t>pplications rejected for reasons such as non-compliance with the admissibility requirements (for example, if the application was sent after the deadline), with the eligibility (the entity or person is not part of the predefined eligible population of entities or persons), the selection (the entity does not have financial capacity or professional or operational capacity) and the award criteria (the proposal does not comply with the predefined requirements such as quality, cost</w:t>
      </w:r>
      <w:r>
        <w:t>/</w:t>
      </w:r>
      <w:r w:rsidRPr="00F9130D">
        <w:t>efficiency)</w:t>
      </w:r>
      <w:r>
        <w:t xml:space="preserve">, no prior </w:t>
      </w:r>
      <w:r w:rsidRPr="00F9130D">
        <w:t>adversarial procedure</w:t>
      </w:r>
      <w:r>
        <w:t xml:space="preserve"> is required.</w:t>
      </w:r>
    </w:p>
    <w:p w14:paraId="550F4EFC" w14:textId="77777777" w:rsidR="00806F79" w:rsidRDefault="00806F79" w:rsidP="00F36C74">
      <w:pPr>
        <w:spacing w:after="120" w:line="240" w:lineRule="atLeast"/>
      </w:pPr>
      <w:bookmarkStart w:id="97" w:name="_Hlk164276445"/>
      <w:r>
        <w:t>Applicants placed on the reserve list will also be informed. The applicable terms to the reserve list are laid down in Section 6.5</w:t>
      </w:r>
      <w:r w:rsidR="00633370">
        <w:t>.</w:t>
      </w:r>
      <w:r>
        <w:t xml:space="preserve"> of the practical guide.</w:t>
      </w:r>
    </w:p>
    <w:p w14:paraId="47560C30" w14:textId="77777777" w:rsidR="00C27B90" w:rsidRDefault="00C27B90" w:rsidP="00F36C74">
      <w:pPr>
        <w:spacing w:after="120" w:line="240" w:lineRule="atLeast"/>
      </w:pPr>
      <w:r>
        <w:t>The successful applicants</w:t>
      </w:r>
      <w:r w:rsidR="0045224D">
        <w:t xml:space="preserve"> shall also be informed, and will be requested to provide some information and documents, including (for grants exceeding EUR 60 000) the </w:t>
      </w:r>
      <w:r w:rsidR="00914C14">
        <w:t>self-evaluation</w:t>
      </w:r>
      <w:r w:rsidR="0045224D">
        <w:t xml:space="preserve"> questionnaire on SEA-H. The lead applicant as well as all co-applicants and affiliated entities other than (</w:t>
      </w:r>
      <w:proofErr w:type="spellStart"/>
      <w:r w:rsidR="0045224D">
        <w:t>i</w:t>
      </w:r>
      <w:proofErr w:type="spellEnd"/>
      <w:r w:rsidR="0045224D">
        <w:t>) natural persons (ii) pillar-assessed entities and (iii) governments and other public bodies shall fill in the self-evaluation questionnaire assessing the organisation’s internal policy and procedures against sexual exploitation, abuse and harassment (SEA-H) (Annex L) (see Section 6.2.10 of the practical guide).</w:t>
      </w:r>
      <w:bookmarkEnd w:id="97"/>
    </w:p>
    <w:p w14:paraId="4B1E63D4" w14:textId="77777777" w:rsidR="00F93638" w:rsidRPr="00F93638" w:rsidRDefault="00F93638" w:rsidP="001B7D50">
      <w:pPr>
        <w:ind w:right="-1"/>
        <w:rPr>
          <w:szCs w:val="22"/>
        </w:rPr>
      </w:pPr>
      <w:r w:rsidRPr="00851F4F">
        <w:rPr>
          <w:szCs w:val="22"/>
        </w:rPr>
        <w:t>Successful applicants will also be informed if the first instalment of pre-financing is subject to the validation of a financial guarantee by the contracting authority</w:t>
      </w:r>
      <w:r w:rsidRPr="000F5467">
        <w:rPr>
          <w:szCs w:val="22"/>
        </w:rPr>
        <w:t xml:space="preserve">. In this case, the applicant will be requested to </w:t>
      </w:r>
      <w:bookmarkStart w:id="98" w:name="_Hlk168911925"/>
      <w:r w:rsidRPr="00851F4F">
        <w:rPr>
          <w:szCs w:val="22"/>
        </w:rPr>
        <w:t xml:space="preserve">send the guarantee </w:t>
      </w:r>
      <w:r>
        <w:rPr>
          <w:szCs w:val="22"/>
        </w:rPr>
        <w:t>in time to proceed to the payment of the first instalment in accordance with the payment provisions of the grant contract</w:t>
      </w:r>
      <w:bookmarkEnd w:id="98"/>
      <w:r w:rsidRPr="000F5467">
        <w:rPr>
          <w:szCs w:val="22"/>
        </w:rPr>
        <w:t>.</w:t>
      </w:r>
    </w:p>
    <w:p w14:paraId="67E8A669" w14:textId="77777777" w:rsidR="00AA4FE0" w:rsidRDefault="006B3FDD" w:rsidP="00F36C74">
      <w:pPr>
        <w:spacing w:after="120" w:line="240" w:lineRule="atLeast"/>
      </w:pPr>
      <w:r w:rsidRPr="00FE05D4">
        <w:t>This letter will</w:t>
      </w:r>
      <w:r>
        <w:t xml:space="preserve"> be sent by e-mail and will</w:t>
      </w:r>
      <w:r w:rsidRPr="00FE05D4">
        <w:t xml:space="preserve"> appear online automatically in the PROSPECT profile of the</w:t>
      </w:r>
      <w:r>
        <w:t xml:space="preserve"> user who submitted the application</w:t>
      </w:r>
      <w:r w:rsidRPr="00FE05D4">
        <w:t xml:space="preserve">. </w:t>
      </w:r>
      <w:r>
        <w:t>Lead a</w:t>
      </w:r>
      <w:r w:rsidRPr="00FE05D4">
        <w:t xml:space="preserve">pplicants who, in exceptional cases (see </w:t>
      </w:r>
      <w:r w:rsidR="00061086">
        <w:t>S</w:t>
      </w:r>
      <w:r w:rsidR="00061086" w:rsidRPr="00FE05D4">
        <w:t xml:space="preserve">ection </w:t>
      </w:r>
      <w:r w:rsidRPr="00FE05D4">
        <w:t>2.2), had to submit their application by post</w:t>
      </w:r>
      <w:r w:rsidR="00657C92">
        <w:t>, private courier</w:t>
      </w:r>
      <w:r w:rsidRPr="00FE05D4">
        <w:t xml:space="preserve"> or hand-delivery, will</w:t>
      </w:r>
      <w:r>
        <w:t xml:space="preserve"> </w:t>
      </w:r>
      <w:r w:rsidRPr="00FE05D4">
        <w:t xml:space="preserve">be informed </w:t>
      </w:r>
      <w:r>
        <w:t>by email or by post if they did not provide any e-mail address</w:t>
      </w:r>
      <w:r w:rsidRPr="00FE05D4">
        <w:t>.</w:t>
      </w:r>
      <w:r>
        <w:t xml:space="preserve"> Therefore, please check regularly your PROSPECT profile, taking into account the indicative timetable below.</w:t>
      </w:r>
      <w:r w:rsidR="0007498A">
        <w:t xml:space="preserve"> </w:t>
      </w:r>
      <w:r w:rsidR="0007498A" w:rsidRPr="007B1B61">
        <w:t>Please note that the lead applicant is the intermediary for all communications between applicants and the contracting authority</w:t>
      </w:r>
      <w:r w:rsidR="0007498A">
        <w:t xml:space="preserve"> during the procedure</w:t>
      </w:r>
      <w:r w:rsidR="0007498A" w:rsidRPr="007B1B61">
        <w:t>.</w:t>
      </w:r>
    </w:p>
    <w:p w14:paraId="634507A6" w14:textId="77777777" w:rsidR="000D5F55" w:rsidRDefault="008A7A99" w:rsidP="00F36C74">
      <w:pPr>
        <w:spacing w:after="120" w:line="240" w:lineRule="atLeast"/>
      </w:pPr>
      <w:r w:rsidRPr="00807DAF">
        <w:t>An 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further </w:t>
      </w:r>
      <w:r w:rsidR="00A33874">
        <w:t>S</w:t>
      </w:r>
      <w:r w:rsidR="00896ECA" w:rsidRPr="00807DAF">
        <w:t>ection</w:t>
      </w:r>
      <w:r w:rsidR="00260548" w:rsidRPr="00807DAF">
        <w:t xml:space="preserve"> 2.</w:t>
      </w:r>
      <w:r w:rsidR="0007498A">
        <w:t>12</w:t>
      </w:r>
      <w:r w:rsidR="00260548" w:rsidRPr="00807DAF">
        <w:t xml:space="preserve"> of the </w:t>
      </w:r>
      <w:r w:rsidR="009D7AC9">
        <w:t>p</w:t>
      </w:r>
      <w:r w:rsidR="00260548" w:rsidRPr="00807DAF">
        <w:t xml:space="preserve">ractical </w:t>
      </w:r>
      <w:r w:rsidR="009D7AC9">
        <w:t>g</w:t>
      </w:r>
      <w:r w:rsidR="00260548" w:rsidRPr="00807DAF">
        <w:t xml:space="preserve">uide. </w:t>
      </w:r>
    </w:p>
    <w:p w14:paraId="6A434EA8" w14:textId="77777777" w:rsidR="0000050E" w:rsidRDefault="0000050E" w:rsidP="00EA610C">
      <w:pPr>
        <w:pStyle w:val="Guidelines2"/>
        <w:numPr>
          <w:ilvl w:val="1"/>
          <w:numId w:val="6"/>
        </w:numPr>
      </w:pPr>
      <w:bookmarkStart w:id="99" w:name="_Toc185257692"/>
      <w:bookmarkStart w:id="100" w:name="_Hlk163756364"/>
      <w:bookmarkStart w:id="101" w:name="_Toc40507655"/>
      <w:bookmarkStart w:id="102" w:name="_Hlk163810750"/>
      <w:r>
        <w:t>Signature of the grant contract</w:t>
      </w:r>
      <w:bookmarkEnd w:id="99"/>
    </w:p>
    <w:bookmarkEnd w:id="100"/>
    <w:bookmarkEnd w:id="101"/>
    <w:p w14:paraId="332D7DB1" w14:textId="77777777" w:rsidR="00511FEE" w:rsidRDefault="00511FEE" w:rsidP="00F36C74">
      <w:pPr>
        <w:spacing w:after="120" w:line="240" w:lineRule="atLeast"/>
      </w:pPr>
      <w:r w:rsidRPr="00807DAF">
        <w:t xml:space="preserve">Following the decision to award a grant, the </w:t>
      </w:r>
      <w:r w:rsidR="00F65B55">
        <w:t>b</w:t>
      </w:r>
      <w:r w:rsidRPr="00807DAF">
        <w:t>eneficiary</w:t>
      </w:r>
      <w:r w:rsidR="00FA2479" w:rsidRPr="00807DAF">
        <w:t>(</w:t>
      </w:r>
      <w:proofErr w:type="spellStart"/>
      <w:r w:rsidR="00FA2479" w:rsidRPr="00807DAF">
        <w:t>ies</w:t>
      </w:r>
      <w:proofErr w:type="spellEnd"/>
      <w:r w:rsidR="00FA2479" w:rsidRPr="00807DAF">
        <w:t>)</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826F51">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078E2" w:rsidRPr="00807DAF">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26609F" w:rsidRPr="0026609F">
        <w:t xml:space="preserve"> </w:t>
      </w:r>
      <w:r w:rsidR="0026609F">
        <w:t>Where the c</w:t>
      </w:r>
      <w:r w:rsidR="0026609F" w:rsidRPr="0026609F">
        <w:t xml:space="preserve">oordinator is an </w:t>
      </w:r>
      <w:proofErr w:type="gramStart"/>
      <w:r w:rsidR="0026609F" w:rsidRPr="0026609F">
        <w:t>organisation</w:t>
      </w:r>
      <w:proofErr w:type="gramEnd"/>
      <w:r w:rsidR="0026609F" w:rsidRPr="0026609F">
        <w:t xml:space="preserve"> whose pillars have been posit</w:t>
      </w:r>
      <w:r w:rsidR="0026609F">
        <w:t>ively assessed, it will sign a c</w:t>
      </w:r>
      <w:r w:rsidR="0026609F" w:rsidRPr="0026609F">
        <w:t>ontributio</w:t>
      </w:r>
      <w:r w:rsidR="0026609F">
        <w:t>n agreement based on the contribution a</w:t>
      </w:r>
      <w:r w:rsidR="0026609F" w:rsidRPr="0026609F">
        <w:t>greement template</w:t>
      </w:r>
      <w:r w:rsidR="00530E9C">
        <w:t>. In this case</w:t>
      </w:r>
      <w:r w:rsidR="00C03269">
        <w:t>,</w:t>
      </w:r>
      <w:r w:rsidR="00530E9C">
        <w:t xml:space="preserve"> references to provisions of 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ontract shall be understood as references to the relevant provisions of the</w:t>
      </w:r>
      <w:r w:rsidR="0026609F">
        <w:t xml:space="preserve"> c</w:t>
      </w:r>
      <w:r w:rsidR="0026609F" w:rsidRPr="0026609F">
        <w:t>ontributio</w:t>
      </w:r>
      <w:r w:rsidR="0026609F">
        <w:t>n agreement</w:t>
      </w:r>
      <w:r w:rsidR="00530E9C">
        <w:t>.</w:t>
      </w:r>
    </w:p>
    <w:p w14:paraId="733BB009" w14:textId="77777777" w:rsidR="0000050E" w:rsidRPr="0000050E" w:rsidRDefault="0000050E" w:rsidP="00F36C74">
      <w:pPr>
        <w:widowControl w:val="0"/>
        <w:autoSpaceDE w:val="0"/>
        <w:autoSpaceDN w:val="0"/>
        <w:adjustRightInd w:val="0"/>
        <w:spacing w:after="120" w:line="240" w:lineRule="atLeast"/>
        <w:rPr>
          <w:lang w:eastAsia="en-GB"/>
        </w:rPr>
      </w:pPr>
      <w:r w:rsidRPr="0000050E">
        <w:rPr>
          <w:lang w:eastAsia="en-GB"/>
        </w:rPr>
        <w:t xml:space="preserve">The budget proposed for the action by the successful applicants at the call for proposals stage must be corrected to remove any obvious arithmetical errors or ineligible costs prior to signing the contract. The description of the action is corrected accordingly if need be. </w:t>
      </w:r>
    </w:p>
    <w:p w14:paraId="53DD4713" w14:textId="77777777" w:rsidR="0000050E" w:rsidRPr="0000050E" w:rsidRDefault="0000050E" w:rsidP="00F36C74">
      <w:pPr>
        <w:widowControl w:val="0"/>
        <w:autoSpaceDE w:val="0"/>
        <w:autoSpaceDN w:val="0"/>
        <w:adjustRightInd w:val="0"/>
        <w:spacing w:after="120" w:line="240" w:lineRule="atLeast"/>
        <w:rPr>
          <w:lang w:eastAsia="en-GB"/>
        </w:rPr>
      </w:pPr>
      <w:r w:rsidRPr="0000050E">
        <w:rPr>
          <w:lang w:eastAsia="en-GB"/>
        </w:rPr>
        <w:t>The contracting authority may decide that other clarifications or minor corrections may be made to the description of the action or to the budget in so far as they do not call into question the grant award decision, do not conflict with equal treatment of applicants, and:</w:t>
      </w:r>
    </w:p>
    <w:p w14:paraId="6AFC7CD7" w14:textId="77777777" w:rsidR="0000050E" w:rsidRPr="0000050E" w:rsidRDefault="0000050E" w:rsidP="00EA610C">
      <w:pPr>
        <w:widowControl w:val="0"/>
        <w:numPr>
          <w:ilvl w:val="3"/>
          <w:numId w:val="28"/>
        </w:numPr>
        <w:autoSpaceDE w:val="0"/>
        <w:autoSpaceDN w:val="0"/>
        <w:adjustRightInd w:val="0"/>
        <w:spacing w:after="120" w:line="240" w:lineRule="atLeast"/>
        <w:ind w:left="709"/>
        <w:jc w:val="left"/>
        <w:rPr>
          <w:lang w:eastAsia="en-GB"/>
        </w:rPr>
      </w:pPr>
      <w:r w:rsidRPr="0000050E">
        <w:rPr>
          <w:lang w:eastAsia="en-GB"/>
        </w:rPr>
        <w:t>relate to matters clearly identified by the evaluation committee; or</w:t>
      </w:r>
    </w:p>
    <w:p w14:paraId="734E353F" w14:textId="77777777" w:rsidR="0000050E" w:rsidRPr="0000050E" w:rsidRDefault="0000050E" w:rsidP="00EA610C">
      <w:pPr>
        <w:widowControl w:val="0"/>
        <w:numPr>
          <w:ilvl w:val="3"/>
          <w:numId w:val="28"/>
        </w:numPr>
        <w:autoSpaceDE w:val="0"/>
        <w:autoSpaceDN w:val="0"/>
        <w:adjustRightInd w:val="0"/>
        <w:spacing w:after="120" w:line="240" w:lineRule="atLeast"/>
        <w:ind w:left="709"/>
        <w:rPr>
          <w:lang w:eastAsia="en-GB"/>
        </w:rPr>
      </w:pPr>
      <w:r w:rsidRPr="0000050E">
        <w:rPr>
          <w:lang w:eastAsia="en-GB"/>
        </w:rPr>
        <w:t>aim at taking into consideration changes that have occurred since the date of receipt of the proposal.</w:t>
      </w:r>
    </w:p>
    <w:p w14:paraId="1A5D9685" w14:textId="77777777" w:rsidR="0000050E" w:rsidRPr="0000050E" w:rsidRDefault="0000050E" w:rsidP="00F36C74">
      <w:pPr>
        <w:widowControl w:val="0"/>
        <w:tabs>
          <w:tab w:val="num" w:pos="1077"/>
        </w:tabs>
        <w:autoSpaceDE w:val="0"/>
        <w:autoSpaceDN w:val="0"/>
        <w:adjustRightInd w:val="0"/>
        <w:spacing w:after="120" w:line="240" w:lineRule="atLeast"/>
        <w:rPr>
          <w:lang w:eastAsia="en-GB"/>
        </w:rPr>
      </w:pPr>
      <w:r w:rsidRPr="0000050E">
        <w:rPr>
          <w:lang w:eastAsia="en-GB"/>
        </w:rPr>
        <w:t>These amendments cannot lead to an increase in either the amount of the grant or the percentage of the European Union contribution as set in the guidelines of the call for proposals. In this respect, records of the contacts with the applicants must be kept on the file.</w:t>
      </w:r>
    </w:p>
    <w:p w14:paraId="13641DB2" w14:textId="77777777" w:rsidR="0000050E" w:rsidRPr="0000050E" w:rsidRDefault="0000050E" w:rsidP="00F36C74">
      <w:pPr>
        <w:widowControl w:val="0"/>
        <w:tabs>
          <w:tab w:val="num" w:pos="1077"/>
        </w:tabs>
        <w:autoSpaceDE w:val="0"/>
        <w:autoSpaceDN w:val="0"/>
        <w:adjustRightInd w:val="0"/>
        <w:spacing w:after="120" w:line="240" w:lineRule="atLeast"/>
        <w:rPr>
          <w:lang w:eastAsia="en-GB"/>
        </w:rPr>
      </w:pPr>
      <w:r w:rsidRPr="0000050E">
        <w:rPr>
          <w:lang w:eastAsia="en-GB"/>
        </w:rPr>
        <w:t xml:space="preserve">In no case the conditions announced in the guidelines can be altered at this stage. Apart from the above-mentioned clarifications and/or corrections, any other alteration of the initial proposal or deviation from the </w:t>
      </w:r>
      <w:r w:rsidRPr="0000050E">
        <w:rPr>
          <w:lang w:eastAsia="en-GB"/>
        </w:rPr>
        <w:lastRenderedPageBreak/>
        <w:t xml:space="preserve">award conditions laid down in the guidelines is strictly prohibited. </w:t>
      </w:r>
    </w:p>
    <w:p w14:paraId="02D4040B" w14:textId="77777777" w:rsidR="0000050E" w:rsidRDefault="0000050E" w:rsidP="00F36C74">
      <w:pPr>
        <w:widowControl w:val="0"/>
        <w:autoSpaceDE w:val="0"/>
        <w:autoSpaceDN w:val="0"/>
        <w:adjustRightInd w:val="0"/>
        <w:spacing w:after="120" w:line="240" w:lineRule="atLeast"/>
        <w:rPr>
          <w:b/>
          <w:lang w:eastAsia="en-GB"/>
        </w:rPr>
      </w:pPr>
      <w:r w:rsidRPr="0000050E">
        <w:rPr>
          <w:b/>
          <w:lang w:eastAsia="en-GB"/>
        </w:rPr>
        <w:t>Any other alteration to the successful applicant’s proposal, or negotiation of it, is prohibited.</w:t>
      </w:r>
    </w:p>
    <w:p w14:paraId="1AABCD53" w14:textId="77777777" w:rsidR="00B374BF" w:rsidRDefault="00B374BF" w:rsidP="00EA610C">
      <w:pPr>
        <w:pStyle w:val="Guidelines2"/>
        <w:numPr>
          <w:ilvl w:val="1"/>
          <w:numId w:val="6"/>
        </w:numPr>
      </w:pPr>
      <w:bookmarkStart w:id="103" w:name="_Toc185257693"/>
      <w:r>
        <w:t>Indicative timetable</w:t>
      </w:r>
      <w:bookmarkEnd w:id="102"/>
      <w:bookmarkEnd w:id="10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B374BF" w:rsidRPr="00807DAF" w14:paraId="7B120B40" w14:textId="77777777" w:rsidTr="00092AB2">
        <w:tc>
          <w:tcPr>
            <w:tcW w:w="4678" w:type="dxa"/>
          </w:tcPr>
          <w:p w14:paraId="4BF0ACE4" w14:textId="77777777" w:rsidR="00B374BF" w:rsidRPr="00807DAF" w:rsidRDefault="00B374BF" w:rsidP="00F36C74">
            <w:pPr>
              <w:spacing w:after="120" w:line="240" w:lineRule="atLeast"/>
              <w:rPr>
                <w:szCs w:val="22"/>
              </w:rPr>
            </w:pPr>
          </w:p>
        </w:tc>
        <w:tc>
          <w:tcPr>
            <w:tcW w:w="2552" w:type="dxa"/>
            <w:shd w:val="pct10" w:color="auto" w:fill="FFFFFF"/>
          </w:tcPr>
          <w:p w14:paraId="6B257919" w14:textId="77777777" w:rsidR="00B374BF" w:rsidRPr="00807DAF" w:rsidRDefault="00B374BF" w:rsidP="00F36C74">
            <w:pPr>
              <w:spacing w:after="120" w:line="240" w:lineRule="atLeast"/>
              <w:jc w:val="center"/>
              <w:rPr>
                <w:b/>
                <w:szCs w:val="22"/>
              </w:rPr>
            </w:pPr>
            <w:r w:rsidRPr="00807DAF">
              <w:rPr>
                <w:b/>
                <w:szCs w:val="22"/>
              </w:rPr>
              <w:t>DATE</w:t>
            </w:r>
          </w:p>
        </w:tc>
        <w:tc>
          <w:tcPr>
            <w:tcW w:w="2551" w:type="dxa"/>
            <w:shd w:val="pct10" w:color="auto" w:fill="FFFFFF"/>
          </w:tcPr>
          <w:p w14:paraId="17A39EDC" w14:textId="77777777" w:rsidR="00B374BF" w:rsidRPr="00807DAF" w:rsidRDefault="00B374BF" w:rsidP="00F36C74">
            <w:pPr>
              <w:spacing w:after="120" w:line="240" w:lineRule="atLeast"/>
              <w:jc w:val="center"/>
              <w:rPr>
                <w:b/>
                <w:szCs w:val="22"/>
              </w:rPr>
            </w:pPr>
            <w:r w:rsidRPr="00807DAF">
              <w:rPr>
                <w:b/>
                <w:szCs w:val="22"/>
              </w:rPr>
              <w:t>TIME</w:t>
            </w:r>
          </w:p>
        </w:tc>
      </w:tr>
      <w:tr w:rsidR="00B374BF" w:rsidRPr="00807DAF" w14:paraId="08B8D3F2" w14:textId="77777777" w:rsidTr="00092AB2">
        <w:tc>
          <w:tcPr>
            <w:tcW w:w="4678" w:type="dxa"/>
            <w:shd w:val="pct10" w:color="auto" w:fill="FFFFFF"/>
          </w:tcPr>
          <w:p w14:paraId="7E469254" w14:textId="77777777" w:rsidR="00B374BF" w:rsidRPr="00807DAF" w:rsidRDefault="00B374BF" w:rsidP="00F36C74">
            <w:pPr>
              <w:spacing w:after="120" w:line="240" w:lineRule="atLeast"/>
              <w:ind w:left="318" w:hanging="318"/>
              <w:jc w:val="left"/>
              <w:rPr>
                <w:b/>
                <w:szCs w:val="22"/>
              </w:rPr>
            </w:pPr>
            <w:r>
              <w:rPr>
                <w:b/>
                <w:szCs w:val="22"/>
              </w:rPr>
              <w:t>1.</w:t>
            </w:r>
            <w:r>
              <w:rPr>
                <w:b/>
                <w:szCs w:val="22"/>
              </w:rPr>
              <w:tab/>
            </w:r>
            <w:r w:rsidRPr="00807DAF">
              <w:rPr>
                <w:b/>
                <w:szCs w:val="22"/>
              </w:rPr>
              <w:t>Information meeting (if any)</w:t>
            </w:r>
          </w:p>
        </w:tc>
        <w:tc>
          <w:tcPr>
            <w:tcW w:w="2552" w:type="dxa"/>
          </w:tcPr>
          <w:p w14:paraId="746898EC" w14:textId="06455AB9" w:rsidR="00B374BF" w:rsidRPr="00807DAF" w:rsidRDefault="00AE76D3" w:rsidP="00F36C74">
            <w:pPr>
              <w:spacing w:after="120" w:line="240" w:lineRule="atLeast"/>
              <w:jc w:val="center"/>
              <w:rPr>
                <w:szCs w:val="22"/>
              </w:rPr>
            </w:pPr>
            <w:r>
              <w:rPr>
                <w:szCs w:val="22"/>
              </w:rPr>
              <w:t>04/04/2025</w:t>
            </w:r>
          </w:p>
        </w:tc>
        <w:tc>
          <w:tcPr>
            <w:tcW w:w="2551" w:type="dxa"/>
          </w:tcPr>
          <w:p w14:paraId="6BBF920A" w14:textId="77777777" w:rsidR="00B374BF" w:rsidRDefault="00BF6943" w:rsidP="00F36C74">
            <w:pPr>
              <w:spacing w:after="120" w:line="240" w:lineRule="atLeast"/>
              <w:jc w:val="center"/>
              <w:rPr>
                <w:szCs w:val="22"/>
                <w:lang w:val="ro-RO"/>
              </w:rPr>
            </w:pPr>
            <w:r>
              <w:rPr>
                <w:szCs w:val="22"/>
              </w:rPr>
              <w:t>10:00 (Chi</w:t>
            </w:r>
            <w:r>
              <w:rPr>
                <w:szCs w:val="22"/>
                <w:lang w:val="ro-RO"/>
              </w:rPr>
              <w:t>șinău time)</w:t>
            </w:r>
          </w:p>
          <w:p w14:paraId="2F5270A9" w14:textId="77777777" w:rsidR="00BF6943" w:rsidRPr="00807DAF" w:rsidRDefault="00BF6943" w:rsidP="00F36C74">
            <w:pPr>
              <w:spacing w:after="120" w:line="240" w:lineRule="atLeast"/>
              <w:jc w:val="center"/>
              <w:rPr>
                <w:szCs w:val="22"/>
              </w:rPr>
            </w:pPr>
          </w:p>
        </w:tc>
      </w:tr>
      <w:tr w:rsidR="00B374BF" w:rsidRPr="00807DAF" w14:paraId="4FDBBEED" w14:textId="77777777" w:rsidTr="00092AB2">
        <w:tc>
          <w:tcPr>
            <w:tcW w:w="4678" w:type="dxa"/>
            <w:shd w:val="pct10" w:color="auto" w:fill="FFFFFF"/>
          </w:tcPr>
          <w:p w14:paraId="35A7A882" w14:textId="77777777" w:rsidR="00B374BF" w:rsidRPr="00807DAF" w:rsidRDefault="00B374BF" w:rsidP="00F36C74">
            <w:pPr>
              <w:spacing w:after="120" w:line="240" w:lineRule="atLeast"/>
              <w:ind w:left="318" w:hanging="284"/>
              <w:jc w:val="left"/>
              <w:rPr>
                <w:b/>
                <w:szCs w:val="22"/>
              </w:rPr>
            </w:pPr>
            <w:r>
              <w:rPr>
                <w:b/>
                <w:szCs w:val="22"/>
              </w:rPr>
              <w:t>2.</w:t>
            </w:r>
            <w:r>
              <w:rPr>
                <w:b/>
                <w:szCs w:val="22"/>
              </w:rPr>
              <w:tab/>
            </w:r>
            <w:r w:rsidRPr="00807DAF">
              <w:rPr>
                <w:b/>
                <w:szCs w:val="22"/>
              </w:rPr>
              <w:t xml:space="preserve">Deadline for requesting any clarifications from the </w:t>
            </w:r>
            <w:r>
              <w:rPr>
                <w:b/>
                <w:szCs w:val="22"/>
              </w:rPr>
              <w:t>c</w:t>
            </w:r>
            <w:r w:rsidRPr="00807DAF">
              <w:rPr>
                <w:b/>
                <w:szCs w:val="22"/>
              </w:rPr>
              <w:t xml:space="preserve">ontracting </w:t>
            </w:r>
            <w:r>
              <w:rPr>
                <w:b/>
                <w:szCs w:val="22"/>
              </w:rPr>
              <w:t>a</w:t>
            </w:r>
            <w:r w:rsidRPr="00807DAF">
              <w:rPr>
                <w:b/>
                <w:szCs w:val="22"/>
              </w:rPr>
              <w:t>uthority</w:t>
            </w:r>
          </w:p>
        </w:tc>
        <w:tc>
          <w:tcPr>
            <w:tcW w:w="2552" w:type="dxa"/>
          </w:tcPr>
          <w:p w14:paraId="7BF8428A" w14:textId="0F84C2CD" w:rsidR="00B374BF" w:rsidRPr="00807DAF" w:rsidRDefault="0072363A" w:rsidP="0072363A">
            <w:pPr>
              <w:spacing w:after="120" w:line="240" w:lineRule="atLeast"/>
              <w:jc w:val="center"/>
              <w:rPr>
                <w:szCs w:val="22"/>
              </w:rPr>
            </w:pPr>
            <w:r>
              <w:rPr>
                <w:szCs w:val="22"/>
              </w:rPr>
              <w:t>14</w:t>
            </w:r>
            <w:r w:rsidR="00DD4C0B">
              <w:rPr>
                <w:szCs w:val="22"/>
              </w:rPr>
              <w:t>/04/2025</w:t>
            </w:r>
          </w:p>
        </w:tc>
        <w:tc>
          <w:tcPr>
            <w:tcW w:w="2551" w:type="dxa"/>
          </w:tcPr>
          <w:p w14:paraId="7E1D94A0" w14:textId="77777777" w:rsidR="00B374BF" w:rsidRPr="00807DAF" w:rsidRDefault="00BF6943" w:rsidP="00F36C74">
            <w:pPr>
              <w:spacing w:after="120" w:line="240" w:lineRule="atLeast"/>
              <w:jc w:val="center"/>
              <w:rPr>
                <w:szCs w:val="22"/>
              </w:rPr>
            </w:pPr>
            <w:r>
              <w:rPr>
                <w:szCs w:val="22"/>
              </w:rPr>
              <w:t>17:00 (Chi</w:t>
            </w:r>
            <w:r>
              <w:rPr>
                <w:szCs w:val="22"/>
                <w:lang w:val="ro-RO"/>
              </w:rPr>
              <w:t>șinău time)</w:t>
            </w:r>
          </w:p>
        </w:tc>
      </w:tr>
      <w:tr w:rsidR="00B374BF" w:rsidRPr="00807DAF" w14:paraId="4921886E" w14:textId="77777777" w:rsidTr="00092AB2">
        <w:tc>
          <w:tcPr>
            <w:tcW w:w="4678" w:type="dxa"/>
            <w:shd w:val="pct10" w:color="auto" w:fill="FFFFFF"/>
          </w:tcPr>
          <w:p w14:paraId="3C386D3A" w14:textId="77777777" w:rsidR="00B374BF" w:rsidRPr="00807DAF" w:rsidRDefault="00B374BF" w:rsidP="00F36C74">
            <w:pPr>
              <w:spacing w:after="120" w:line="240" w:lineRule="atLeast"/>
              <w:ind w:left="318" w:hanging="284"/>
              <w:jc w:val="left"/>
              <w:rPr>
                <w:b/>
                <w:szCs w:val="22"/>
              </w:rPr>
            </w:pPr>
            <w:r>
              <w:rPr>
                <w:b/>
                <w:szCs w:val="22"/>
              </w:rPr>
              <w:t>3.</w:t>
            </w:r>
            <w:r>
              <w:rPr>
                <w:b/>
                <w:szCs w:val="22"/>
              </w:rPr>
              <w:tab/>
            </w:r>
            <w:r w:rsidRPr="00807DAF">
              <w:rPr>
                <w:b/>
                <w:szCs w:val="22"/>
              </w:rPr>
              <w:t xml:space="preserve">Last date on which clarifications are issued by the </w:t>
            </w:r>
            <w:r>
              <w:rPr>
                <w:b/>
                <w:szCs w:val="22"/>
              </w:rPr>
              <w:t>c</w:t>
            </w:r>
            <w:r w:rsidRPr="00807DAF">
              <w:rPr>
                <w:b/>
                <w:szCs w:val="22"/>
              </w:rPr>
              <w:t xml:space="preserve">ontracting </w:t>
            </w:r>
            <w:r>
              <w:rPr>
                <w:b/>
                <w:szCs w:val="22"/>
              </w:rPr>
              <w:t>a</w:t>
            </w:r>
            <w:r w:rsidRPr="00807DAF">
              <w:rPr>
                <w:b/>
                <w:szCs w:val="22"/>
              </w:rPr>
              <w:t>uthority</w:t>
            </w:r>
          </w:p>
        </w:tc>
        <w:tc>
          <w:tcPr>
            <w:tcW w:w="2552" w:type="dxa"/>
          </w:tcPr>
          <w:p w14:paraId="5BC32FD2" w14:textId="42C554D2" w:rsidR="00B374BF" w:rsidRPr="00807DAF" w:rsidRDefault="0072363A" w:rsidP="00F36C74">
            <w:pPr>
              <w:spacing w:after="120" w:line="240" w:lineRule="atLeast"/>
              <w:jc w:val="center"/>
              <w:rPr>
                <w:szCs w:val="22"/>
              </w:rPr>
            </w:pPr>
            <w:r>
              <w:rPr>
                <w:szCs w:val="22"/>
              </w:rPr>
              <w:t>23</w:t>
            </w:r>
            <w:r w:rsidR="00DD4C0B">
              <w:rPr>
                <w:szCs w:val="22"/>
              </w:rPr>
              <w:t>/04/2025</w:t>
            </w:r>
          </w:p>
        </w:tc>
        <w:tc>
          <w:tcPr>
            <w:tcW w:w="2551" w:type="dxa"/>
          </w:tcPr>
          <w:p w14:paraId="6A0E7EC0" w14:textId="77777777" w:rsidR="00B374BF" w:rsidRPr="00807DAF" w:rsidRDefault="00BF6943" w:rsidP="00F36C74">
            <w:pPr>
              <w:spacing w:after="120" w:line="240" w:lineRule="atLeast"/>
              <w:jc w:val="center"/>
              <w:rPr>
                <w:szCs w:val="22"/>
              </w:rPr>
            </w:pPr>
            <w:r>
              <w:rPr>
                <w:szCs w:val="22"/>
              </w:rPr>
              <w:t>17:00 (Chi</w:t>
            </w:r>
            <w:r>
              <w:rPr>
                <w:szCs w:val="22"/>
                <w:lang w:val="ro-RO"/>
              </w:rPr>
              <w:t>șinău time)</w:t>
            </w:r>
          </w:p>
        </w:tc>
      </w:tr>
      <w:tr w:rsidR="00B374BF" w:rsidRPr="00807DAF" w14:paraId="7D464D29" w14:textId="77777777" w:rsidTr="00092AB2">
        <w:tc>
          <w:tcPr>
            <w:tcW w:w="4678" w:type="dxa"/>
            <w:shd w:val="pct10" w:color="auto" w:fill="FFFFFF"/>
          </w:tcPr>
          <w:p w14:paraId="267BC765" w14:textId="77777777" w:rsidR="00B374BF" w:rsidRPr="00807DAF" w:rsidRDefault="00B374BF" w:rsidP="00F36C74">
            <w:pPr>
              <w:spacing w:after="120" w:line="240" w:lineRule="atLeast"/>
              <w:ind w:left="318" w:hanging="284"/>
              <w:jc w:val="left"/>
              <w:rPr>
                <w:b/>
                <w:szCs w:val="22"/>
              </w:rPr>
            </w:pPr>
            <w:r>
              <w:rPr>
                <w:b/>
                <w:szCs w:val="22"/>
              </w:rPr>
              <w:t>4.</w:t>
            </w:r>
            <w:r>
              <w:rPr>
                <w:b/>
                <w:szCs w:val="22"/>
              </w:rPr>
              <w:tab/>
            </w:r>
            <w:r w:rsidRPr="00807DAF">
              <w:rPr>
                <w:b/>
                <w:szCs w:val="22"/>
              </w:rPr>
              <w:t xml:space="preserve">Deadline for submission of </w:t>
            </w:r>
            <w:r w:rsidRPr="00BA6979">
              <w:rPr>
                <w:b/>
                <w:szCs w:val="22"/>
              </w:rPr>
              <w:t>concept notes</w:t>
            </w:r>
            <w:r>
              <w:rPr>
                <w:b/>
                <w:szCs w:val="22"/>
              </w:rPr>
              <w:t xml:space="preserve"> </w:t>
            </w:r>
            <w:r w:rsidRPr="00807DAF">
              <w:rPr>
                <w:b/>
                <w:szCs w:val="22"/>
                <w:highlight w:val="yellow"/>
              </w:rPr>
              <w:t xml:space="preserve"> </w:t>
            </w:r>
          </w:p>
        </w:tc>
        <w:tc>
          <w:tcPr>
            <w:tcW w:w="2552" w:type="dxa"/>
          </w:tcPr>
          <w:p w14:paraId="759D2296" w14:textId="1BBAB0C4" w:rsidR="00B374BF" w:rsidRPr="00807DAF" w:rsidRDefault="00AE76D3" w:rsidP="00F36C74">
            <w:pPr>
              <w:spacing w:after="120" w:line="240" w:lineRule="atLeast"/>
              <w:jc w:val="center"/>
              <w:rPr>
                <w:szCs w:val="22"/>
              </w:rPr>
            </w:pPr>
            <w:r>
              <w:rPr>
                <w:szCs w:val="22"/>
              </w:rPr>
              <w:t>05/05/2025</w:t>
            </w:r>
          </w:p>
        </w:tc>
        <w:tc>
          <w:tcPr>
            <w:tcW w:w="2551" w:type="dxa"/>
          </w:tcPr>
          <w:p w14:paraId="2844DDD6" w14:textId="3A6FDE85" w:rsidR="00B374BF" w:rsidRDefault="00CF5B05" w:rsidP="00F36C74">
            <w:pPr>
              <w:spacing w:after="120" w:line="240" w:lineRule="atLeast"/>
              <w:jc w:val="center"/>
              <w:rPr>
                <w:szCs w:val="22"/>
                <w:lang w:val="ro-RO"/>
              </w:rPr>
            </w:pPr>
            <w:r>
              <w:rPr>
                <w:szCs w:val="22"/>
              </w:rPr>
              <w:t>13</w:t>
            </w:r>
            <w:r w:rsidR="00BF6943">
              <w:rPr>
                <w:szCs w:val="22"/>
              </w:rPr>
              <w:t>:00 (Chi</w:t>
            </w:r>
            <w:r w:rsidR="00BF6943">
              <w:rPr>
                <w:szCs w:val="22"/>
                <w:lang w:val="ro-RO"/>
              </w:rPr>
              <w:t>șinău time)</w:t>
            </w:r>
          </w:p>
          <w:p w14:paraId="74FF32A1" w14:textId="77777777" w:rsidR="00BF6943" w:rsidRPr="00807DAF" w:rsidRDefault="00BF6943" w:rsidP="00F36C74">
            <w:pPr>
              <w:spacing w:after="120" w:line="240" w:lineRule="atLeast"/>
              <w:jc w:val="center"/>
              <w:rPr>
                <w:szCs w:val="22"/>
              </w:rPr>
            </w:pPr>
          </w:p>
        </w:tc>
      </w:tr>
      <w:tr w:rsidR="00B374BF" w:rsidRPr="00807DAF" w14:paraId="3E66AD6B" w14:textId="77777777" w:rsidTr="00092AB2">
        <w:tc>
          <w:tcPr>
            <w:tcW w:w="4678" w:type="dxa"/>
            <w:shd w:val="pct10" w:color="auto" w:fill="FFFFFF"/>
          </w:tcPr>
          <w:p w14:paraId="0D0B15B5" w14:textId="23C07F5F" w:rsidR="00B374BF" w:rsidRPr="00807DAF" w:rsidRDefault="00B374BF" w:rsidP="004D457A">
            <w:pPr>
              <w:spacing w:after="120" w:line="240" w:lineRule="atLeast"/>
              <w:ind w:left="318" w:hanging="284"/>
              <w:rPr>
                <w:b/>
                <w:szCs w:val="22"/>
              </w:rPr>
            </w:pPr>
            <w:r>
              <w:rPr>
                <w:b/>
                <w:szCs w:val="22"/>
              </w:rPr>
              <w:t>5.</w:t>
            </w:r>
            <w:r>
              <w:rPr>
                <w:b/>
                <w:szCs w:val="22"/>
              </w:rPr>
              <w:tab/>
            </w:r>
            <w:r w:rsidRPr="00807DAF">
              <w:rPr>
                <w:b/>
                <w:szCs w:val="22"/>
              </w:rPr>
              <w:t xml:space="preserve">Information to </w:t>
            </w:r>
            <w:r>
              <w:rPr>
                <w:b/>
                <w:szCs w:val="22"/>
              </w:rPr>
              <w:t>lead a</w:t>
            </w:r>
            <w:r w:rsidRPr="00807DAF">
              <w:rPr>
                <w:b/>
                <w:szCs w:val="22"/>
              </w:rPr>
              <w:t xml:space="preserve">pplicants </w:t>
            </w:r>
            <w:proofErr w:type="gramStart"/>
            <w:r w:rsidRPr="00807DAF">
              <w:rPr>
                <w:b/>
                <w:szCs w:val="22"/>
              </w:rPr>
              <w:t>on  administrative</w:t>
            </w:r>
            <w:proofErr w:type="gramEnd"/>
            <w:r w:rsidRPr="00807DAF">
              <w:rPr>
                <w:b/>
                <w:szCs w:val="22"/>
              </w:rPr>
              <w:t xml:space="preserve"> checks and concept note evaluation (Step 1)</w:t>
            </w:r>
            <w:r w:rsidR="00061086">
              <w:rPr>
                <w:b/>
                <w:szCs w:val="22"/>
              </w:rPr>
              <w:t xml:space="preserve"> and i</w:t>
            </w:r>
            <w:r w:rsidR="00061086" w:rsidRPr="00BA6979">
              <w:rPr>
                <w:b/>
                <w:szCs w:val="22"/>
              </w:rPr>
              <w:t>nvitation to submit full applications</w:t>
            </w:r>
          </w:p>
        </w:tc>
        <w:tc>
          <w:tcPr>
            <w:tcW w:w="2552" w:type="dxa"/>
          </w:tcPr>
          <w:p w14:paraId="7D4C854F" w14:textId="1BEBAC3B" w:rsidR="00B374BF" w:rsidRPr="00807DAF" w:rsidRDefault="00DD4C0B" w:rsidP="00F36C74">
            <w:pPr>
              <w:spacing w:after="120" w:line="240" w:lineRule="atLeast"/>
              <w:jc w:val="center"/>
              <w:rPr>
                <w:szCs w:val="22"/>
              </w:rPr>
            </w:pPr>
            <w:r>
              <w:rPr>
                <w:szCs w:val="22"/>
              </w:rPr>
              <w:t>15/06/2025</w:t>
            </w:r>
          </w:p>
        </w:tc>
        <w:tc>
          <w:tcPr>
            <w:tcW w:w="2551" w:type="dxa"/>
          </w:tcPr>
          <w:p w14:paraId="7BA32F9E" w14:textId="77777777" w:rsidR="00B374BF" w:rsidRPr="00807DAF" w:rsidRDefault="00BF6943" w:rsidP="00F36C74">
            <w:pPr>
              <w:spacing w:after="120" w:line="240" w:lineRule="atLeast"/>
              <w:jc w:val="center"/>
              <w:rPr>
                <w:szCs w:val="22"/>
              </w:rPr>
            </w:pPr>
            <w:r>
              <w:rPr>
                <w:szCs w:val="22"/>
              </w:rPr>
              <w:t>17:00 (Chi</w:t>
            </w:r>
            <w:r>
              <w:rPr>
                <w:szCs w:val="22"/>
                <w:lang w:val="ro-RO"/>
              </w:rPr>
              <w:t>șinău time)</w:t>
            </w:r>
          </w:p>
        </w:tc>
      </w:tr>
      <w:tr w:rsidR="00B374BF" w:rsidRPr="00807DAF" w14:paraId="1C6A742B" w14:textId="77777777" w:rsidTr="00DC28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4678" w:type="dxa"/>
            <w:tcBorders>
              <w:left w:val="single" w:sz="4" w:space="0" w:color="auto"/>
              <w:right w:val="single" w:sz="4" w:space="0" w:color="auto"/>
            </w:tcBorders>
          </w:tcPr>
          <w:p w14:paraId="0417C6CE" w14:textId="77777777" w:rsidR="00B374BF" w:rsidRPr="00807DAF" w:rsidRDefault="00061086" w:rsidP="00F36C74">
            <w:pPr>
              <w:spacing w:after="120" w:line="240" w:lineRule="atLeast"/>
              <w:jc w:val="left"/>
              <w:rPr>
                <w:b/>
                <w:szCs w:val="22"/>
              </w:rPr>
            </w:pPr>
            <w:r>
              <w:rPr>
                <w:b/>
                <w:szCs w:val="22"/>
              </w:rPr>
              <w:t>6</w:t>
            </w:r>
            <w:r w:rsidR="00B374BF" w:rsidRPr="00BA6979">
              <w:rPr>
                <w:b/>
                <w:szCs w:val="22"/>
              </w:rPr>
              <w:t>. Deadline for submission of full applications</w:t>
            </w:r>
          </w:p>
        </w:tc>
        <w:tc>
          <w:tcPr>
            <w:tcW w:w="2552" w:type="dxa"/>
            <w:tcBorders>
              <w:left w:val="single" w:sz="4" w:space="0" w:color="auto"/>
              <w:right w:val="single" w:sz="4" w:space="0" w:color="auto"/>
            </w:tcBorders>
          </w:tcPr>
          <w:p w14:paraId="1F3273A7" w14:textId="7E349F2C" w:rsidR="00B374BF" w:rsidRPr="00807DAF" w:rsidRDefault="00837B6F" w:rsidP="00F36C74">
            <w:pPr>
              <w:spacing w:after="120" w:line="240" w:lineRule="atLeast"/>
              <w:jc w:val="center"/>
              <w:rPr>
                <w:szCs w:val="22"/>
              </w:rPr>
            </w:pPr>
            <w:r>
              <w:rPr>
                <w:szCs w:val="22"/>
              </w:rPr>
              <w:t>01</w:t>
            </w:r>
            <w:r w:rsidR="00DD4C0B">
              <w:rPr>
                <w:szCs w:val="22"/>
              </w:rPr>
              <w:t>/0</w:t>
            </w:r>
            <w:r>
              <w:rPr>
                <w:szCs w:val="22"/>
              </w:rPr>
              <w:t>9</w:t>
            </w:r>
            <w:r w:rsidR="00DD4C0B">
              <w:rPr>
                <w:szCs w:val="22"/>
              </w:rPr>
              <w:t>/2025</w:t>
            </w:r>
          </w:p>
        </w:tc>
        <w:tc>
          <w:tcPr>
            <w:tcW w:w="2551" w:type="dxa"/>
            <w:tcBorders>
              <w:left w:val="single" w:sz="4" w:space="0" w:color="auto"/>
              <w:right w:val="single" w:sz="4" w:space="0" w:color="auto"/>
            </w:tcBorders>
          </w:tcPr>
          <w:p w14:paraId="6D8B8497" w14:textId="77777777" w:rsidR="00B374BF" w:rsidRPr="00807DAF" w:rsidRDefault="00BF6943" w:rsidP="00F36C74">
            <w:pPr>
              <w:spacing w:after="120" w:line="240" w:lineRule="atLeast"/>
              <w:jc w:val="center"/>
              <w:rPr>
                <w:szCs w:val="22"/>
              </w:rPr>
            </w:pPr>
            <w:r>
              <w:rPr>
                <w:szCs w:val="22"/>
              </w:rPr>
              <w:t>17:00 (Chi</w:t>
            </w:r>
            <w:r>
              <w:rPr>
                <w:szCs w:val="22"/>
                <w:lang w:val="ro-RO"/>
              </w:rPr>
              <w:t>șinău time)</w:t>
            </w:r>
          </w:p>
        </w:tc>
      </w:tr>
      <w:tr w:rsidR="00B374BF" w:rsidRPr="00807DAF" w14:paraId="68DFB5F4" w14:textId="77777777" w:rsidTr="00092AB2">
        <w:tc>
          <w:tcPr>
            <w:tcW w:w="4678" w:type="dxa"/>
            <w:shd w:val="pct10" w:color="auto" w:fill="FFFFFF"/>
          </w:tcPr>
          <w:p w14:paraId="3AF74AE5" w14:textId="77777777" w:rsidR="00B374BF" w:rsidRPr="00807DAF" w:rsidRDefault="00C27B90" w:rsidP="00F36C74">
            <w:pPr>
              <w:spacing w:after="120" w:line="240" w:lineRule="atLeast"/>
              <w:ind w:left="318" w:hanging="284"/>
              <w:jc w:val="left"/>
              <w:rPr>
                <w:b/>
                <w:szCs w:val="22"/>
              </w:rPr>
            </w:pPr>
            <w:r>
              <w:rPr>
                <w:b/>
                <w:szCs w:val="22"/>
              </w:rPr>
              <w:t>7</w:t>
            </w:r>
            <w:r w:rsidR="00B374BF">
              <w:rPr>
                <w:b/>
                <w:szCs w:val="22"/>
              </w:rPr>
              <w:t>.</w:t>
            </w:r>
            <w:r w:rsidR="00B374BF">
              <w:rPr>
                <w:b/>
                <w:szCs w:val="22"/>
              </w:rPr>
              <w:tab/>
            </w:r>
            <w:r w:rsidR="00B374BF" w:rsidRPr="00807DAF">
              <w:rPr>
                <w:b/>
                <w:szCs w:val="22"/>
              </w:rPr>
              <w:t xml:space="preserve">Notification of </w:t>
            </w:r>
            <w:r w:rsidR="00806F79">
              <w:rPr>
                <w:b/>
                <w:szCs w:val="22"/>
              </w:rPr>
              <w:t>the contracting authority decision</w:t>
            </w:r>
          </w:p>
        </w:tc>
        <w:tc>
          <w:tcPr>
            <w:tcW w:w="2552" w:type="dxa"/>
          </w:tcPr>
          <w:p w14:paraId="3C0112A7" w14:textId="57FA288A" w:rsidR="00B374BF" w:rsidRPr="00807DAF" w:rsidRDefault="0072363A" w:rsidP="00F36C74">
            <w:pPr>
              <w:spacing w:after="120" w:line="240" w:lineRule="atLeast"/>
              <w:jc w:val="center"/>
              <w:rPr>
                <w:szCs w:val="22"/>
              </w:rPr>
            </w:pPr>
            <w:r>
              <w:rPr>
                <w:szCs w:val="22"/>
              </w:rPr>
              <w:t>10</w:t>
            </w:r>
            <w:r w:rsidR="00DD4C0B">
              <w:rPr>
                <w:szCs w:val="22"/>
              </w:rPr>
              <w:t>/10/2025</w:t>
            </w:r>
          </w:p>
        </w:tc>
        <w:tc>
          <w:tcPr>
            <w:tcW w:w="2551" w:type="dxa"/>
          </w:tcPr>
          <w:p w14:paraId="103553E2" w14:textId="77777777" w:rsidR="00B374BF" w:rsidRPr="00807DAF" w:rsidRDefault="00BF6943" w:rsidP="00F36C74">
            <w:pPr>
              <w:spacing w:after="120" w:line="240" w:lineRule="atLeast"/>
              <w:jc w:val="center"/>
              <w:rPr>
                <w:szCs w:val="22"/>
              </w:rPr>
            </w:pPr>
            <w:r>
              <w:rPr>
                <w:szCs w:val="22"/>
              </w:rPr>
              <w:t>17:00 (Chi</w:t>
            </w:r>
            <w:r>
              <w:rPr>
                <w:szCs w:val="22"/>
                <w:lang w:val="ro-RO"/>
              </w:rPr>
              <w:t>șinău time)</w:t>
            </w:r>
          </w:p>
        </w:tc>
      </w:tr>
      <w:tr w:rsidR="00B374BF" w:rsidRPr="00807DAF" w14:paraId="62A3604B" w14:textId="77777777" w:rsidTr="00092AB2">
        <w:tc>
          <w:tcPr>
            <w:tcW w:w="4678" w:type="dxa"/>
            <w:shd w:val="pct10" w:color="auto" w:fill="FFFFFF"/>
          </w:tcPr>
          <w:p w14:paraId="69543BF6" w14:textId="77777777" w:rsidR="00B374BF" w:rsidRPr="00807DAF" w:rsidRDefault="00C27B90" w:rsidP="00F36C74">
            <w:pPr>
              <w:spacing w:after="120" w:line="240" w:lineRule="atLeast"/>
              <w:ind w:left="318" w:hanging="284"/>
              <w:jc w:val="left"/>
              <w:rPr>
                <w:b/>
                <w:szCs w:val="22"/>
              </w:rPr>
            </w:pPr>
            <w:r>
              <w:rPr>
                <w:b/>
                <w:szCs w:val="22"/>
              </w:rPr>
              <w:t>8</w:t>
            </w:r>
            <w:r w:rsidR="00B374BF">
              <w:rPr>
                <w:b/>
                <w:szCs w:val="22"/>
              </w:rPr>
              <w:t xml:space="preserve">. </w:t>
            </w:r>
            <w:r w:rsidR="00B374BF" w:rsidRPr="00807DAF">
              <w:rPr>
                <w:b/>
                <w:szCs w:val="22"/>
              </w:rPr>
              <w:t>Contract signature</w:t>
            </w:r>
          </w:p>
        </w:tc>
        <w:tc>
          <w:tcPr>
            <w:tcW w:w="2552" w:type="dxa"/>
          </w:tcPr>
          <w:p w14:paraId="5F8D42E7" w14:textId="6FD7FCB0" w:rsidR="00B374BF" w:rsidRPr="00807DAF" w:rsidRDefault="0072363A" w:rsidP="00F36C74">
            <w:pPr>
              <w:spacing w:after="120" w:line="240" w:lineRule="atLeast"/>
              <w:jc w:val="center"/>
              <w:rPr>
                <w:szCs w:val="22"/>
              </w:rPr>
            </w:pPr>
            <w:r>
              <w:rPr>
                <w:szCs w:val="22"/>
              </w:rPr>
              <w:t>10</w:t>
            </w:r>
            <w:r w:rsidR="00DD4C0B">
              <w:rPr>
                <w:szCs w:val="22"/>
              </w:rPr>
              <w:t>/11/2025</w:t>
            </w:r>
          </w:p>
        </w:tc>
        <w:tc>
          <w:tcPr>
            <w:tcW w:w="2551" w:type="dxa"/>
          </w:tcPr>
          <w:p w14:paraId="494C7F65" w14:textId="77777777" w:rsidR="00B374BF" w:rsidRDefault="00BF6943" w:rsidP="00F36C74">
            <w:pPr>
              <w:spacing w:after="120" w:line="240" w:lineRule="atLeast"/>
              <w:jc w:val="center"/>
              <w:rPr>
                <w:szCs w:val="22"/>
                <w:lang w:val="ro-RO"/>
              </w:rPr>
            </w:pPr>
            <w:r>
              <w:rPr>
                <w:szCs w:val="22"/>
              </w:rPr>
              <w:t>17:00 (Chi</w:t>
            </w:r>
            <w:r>
              <w:rPr>
                <w:szCs w:val="22"/>
                <w:lang w:val="ro-RO"/>
              </w:rPr>
              <w:t>șinău time)</w:t>
            </w:r>
          </w:p>
          <w:p w14:paraId="16C0199D" w14:textId="77777777" w:rsidR="00BF6943" w:rsidRPr="00807DAF" w:rsidRDefault="00BF6943" w:rsidP="00F36C74">
            <w:pPr>
              <w:spacing w:after="120" w:line="240" w:lineRule="atLeast"/>
              <w:jc w:val="center"/>
              <w:rPr>
                <w:szCs w:val="22"/>
              </w:rPr>
            </w:pPr>
          </w:p>
        </w:tc>
      </w:tr>
    </w:tbl>
    <w:p w14:paraId="30B2094B" w14:textId="77777777" w:rsidR="00B374BF" w:rsidRPr="00807DAF" w:rsidRDefault="00BF6943" w:rsidP="00F36C74">
      <w:pPr>
        <w:spacing w:after="120" w:line="240" w:lineRule="atLeast"/>
      </w:pPr>
      <w:r w:rsidRPr="00BF6943">
        <w:t>All times are in the time zone of the country of the contracting authority.</w:t>
      </w:r>
    </w:p>
    <w:p w14:paraId="391B593D" w14:textId="77777777" w:rsidR="00B374BF" w:rsidRPr="00914C14" w:rsidRDefault="00B374BF" w:rsidP="00F36C74">
      <w:pPr>
        <w:spacing w:after="120" w:line="240" w:lineRule="atLeast"/>
        <w:rPr>
          <w:color w:val="0000FF"/>
          <w:szCs w:val="22"/>
          <w:u w:val="single"/>
        </w:rPr>
      </w:pPr>
      <w:r w:rsidRPr="00807DAF">
        <w:t xml:space="preserve">This indicative timetable </w:t>
      </w:r>
      <w:r>
        <w:t xml:space="preserve">refers to provisional dates (except for dates 2, 3, and 4) </w:t>
      </w:r>
      <w:r w:rsidRPr="00951BF6">
        <w:rPr>
          <w:szCs w:val="22"/>
        </w:rPr>
        <w:t xml:space="preserve">and </w:t>
      </w:r>
      <w:r w:rsidRPr="00807DAF">
        <w:t xml:space="preserve">may be updated by the </w:t>
      </w:r>
      <w:r>
        <w:t>c</w:t>
      </w:r>
      <w:r w:rsidRPr="00807DAF">
        <w:t xml:space="preserve">ontracting </w:t>
      </w:r>
      <w:r>
        <w:t>a</w:t>
      </w:r>
      <w:r w:rsidRPr="00807DAF">
        <w:t>uthority during the procedure. In such cases, the updated timetable will be published on the web site</w:t>
      </w:r>
      <w:r>
        <w:t xml:space="preserve"> </w:t>
      </w:r>
      <w:r>
        <w:rPr>
          <w:szCs w:val="22"/>
        </w:rPr>
        <w:t>where the call was published: website</w:t>
      </w:r>
      <w:r>
        <w:t xml:space="preserve"> of DG International Partnerships</w:t>
      </w:r>
      <w:r w:rsidRPr="00807DAF">
        <w:tab/>
        <w:t xml:space="preserve"> </w:t>
      </w:r>
      <w:hyperlink r:id="rId39" w:history="1">
        <w:r w:rsidRPr="009C76F9">
          <w:rPr>
            <w:rStyle w:val="Hyperlink"/>
            <w:szCs w:val="22"/>
          </w:rPr>
          <w:t>https://ec.europa.eu/international-partnerships/home_fr</w:t>
        </w:r>
      </w:hyperlink>
      <w:r w:rsidRPr="00232301">
        <w:rPr>
          <w:rStyle w:val="Hyperlink"/>
          <w:szCs w:val="22"/>
          <w:u w:val="none"/>
        </w:rPr>
        <w:t xml:space="preserve"> </w:t>
      </w:r>
      <w:r w:rsidR="00CF3B99">
        <w:rPr>
          <w:rStyle w:val="Hyperlink"/>
          <w:szCs w:val="22"/>
          <w:u w:val="none"/>
        </w:rPr>
        <w:t>and/</w:t>
      </w:r>
      <w:r w:rsidRPr="00F1518C">
        <w:t xml:space="preserve">or </w:t>
      </w:r>
      <w:r>
        <w:t>Funding &amp; T</w:t>
      </w:r>
      <w:r w:rsidRPr="00F1518C">
        <w:t xml:space="preserve">ender opportunities (F&amp;T Portal) </w:t>
      </w:r>
      <w:hyperlink r:id="rId40" w:history="1">
        <w:r w:rsidRPr="007578F4">
          <w:rPr>
            <w:rStyle w:val="Hyperlink"/>
          </w:rPr>
          <w:t>https://ec.europa.eu/info/funding-tenders/opportunities/portal/screen/home</w:t>
        </w:r>
      </w:hyperlink>
      <w:r w:rsidRPr="00807DAF">
        <w:t>.</w:t>
      </w:r>
    </w:p>
    <w:p w14:paraId="693B4E94" w14:textId="77777777" w:rsidR="00B374BF" w:rsidRDefault="00B374BF" w:rsidP="00EA610C">
      <w:pPr>
        <w:pStyle w:val="Guidelines2"/>
        <w:numPr>
          <w:ilvl w:val="1"/>
          <w:numId w:val="6"/>
        </w:numPr>
      </w:pPr>
      <w:bookmarkStart w:id="104" w:name="_Toc185257694"/>
      <w:r w:rsidRPr="00D54FCF">
        <w:t>Early detection and exclusion system</w:t>
      </w:r>
      <w:bookmarkEnd w:id="104"/>
    </w:p>
    <w:p w14:paraId="2342604E" w14:textId="77777777" w:rsidR="00B374BF" w:rsidRPr="00956082" w:rsidRDefault="00B374BF" w:rsidP="00F36C74">
      <w:pPr>
        <w:spacing w:after="120" w:line="240" w:lineRule="atLeast"/>
        <w:rPr>
          <w:szCs w:val="22"/>
        </w:rPr>
      </w:pPr>
      <w:bookmarkStart w:id="105" w:name="_Hlk163810974"/>
      <w:r>
        <w:rPr>
          <w:szCs w:val="22"/>
        </w:rPr>
        <w:t>Applicants</w:t>
      </w:r>
      <w:r w:rsidRPr="00D54FCF">
        <w:rPr>
          <w:szCs w:val="22"/>
        </w:rPr>
        <w:t xml:space="preserve"> and, if they are legal entities, persons who have powers of representation, decision-making or control over them, </w:t>
      </w:r>
      <w:bookmarkStart w:id="106" w:name="_Hlk163231716"/>
      <w:r w:rsidRPr="00F661DF">
        <w:rPr>
          <w:szCs w:val="22"/>
        </w:rPr>
        <w:t xml:space="preserve">natural or legal person that assumes unlimited liability for the debts, natural or legal person who is essential for the award or for the implementation of the legal commitment, beneficial owner or any affiliate of the </w:t>
      </w:r>
      <w:r>
        <w:rPr>
          <w:szCs w:val="22"/>
        </w:rPr>
        <w:t>applicant,</w:t>
      </w:r>
      <w:r w:rsidRPr="00F661DF">
        <w:rPr>
          <w:szCs w:val="22"/>
        </w:rPr>
        <w:t xml:space="preserve"> </w:t>
      </w:r>
      <w:bookmarkEnd w:id="106"/>
      <w:r w:rsidRPr="00D54FCF">
        <w:rPr>
          <w:szCs w:val="22"/>
        </w:rPr>
        <w:t>are informed that, should they be in one of the situations of early detection or exclusion, their personal details (name, given name if natural person, address, legal form</w:t>
      </w:r>
      <w:r>
        <w:rPr>
          <w:szCs w:val="22"/>
        </w:rPr>
        <w:t>)</w:t>
      </w:r>
      <w:r w:rsidRPr="00D54FCF">
        <w:rPr>
          <w:szCs w:val="22"/>
        </w:rPr>
        <w:t xml:space="preserve"> may be registered in the early detection and exclusion system, and communicated to the persons and entities concerned in relation to the award or the execution of a </w:t>
      </w:r>
      <w:r>
        <w:rPr>
          <w:szCs w:val="22"/>
        </w:rPr>
        <w:t>grant</w:t>
      </w:r>
      <w:r w:rsidRPr="00D54FCF">
        <w:rPr>
          <w:szCs w:val="22"/>
        </w:rPr>
        <w:t xml:space="preserve"> contract.</w:t>
      </w:r>
    </w:p>
    <w:p w14:paraId="44755053" w14:textId="7B014950" w:rsidR="00B374BF" w:rsidRPr="00907182" w:rsidRDefault="00B374BF" w:rsidP="00F36C7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Lines="120" w:before="288" w:afterLines="60" w:after="144" w:line="240" w:lineRule="atLeast"/>
        <w:rPr>
          <w:szCs w:val="22"/>
        </w:rPr>
      </w:pPr>
      <w:bookmarkStart w:id="107" w:name="_Hlk163231805"/>
      <w:r w:rsidRPr="00907182">
        <w:rPr>
          <w:szCs w:val="22"/>
        </w:rPr>
        <w:t>For more information, you may consult the privacy statement available on</w:t>
      </w:r>
      <w:r w:rsidRPr="00907182">
        <w:rPr>
          <w:color w:val="2B579A"/>
          <w:szCs w:val="22"/>
          <w:shd w:val="clear" w:color="auto" w:fill="E6E6E6"/>
        </w:rPr>
        <w:t xml:space="preserve"> </w:t>
      </w:r>
      <w:hyperlink r:id="rId41" w:history="1">
        <w:r w:rsidRPr="00907182">
          <w:rPr>
            <w:color w:val="0000FF"/>
            <w:szCs w:val="22"/>
            <w:u w:val="single"/>
          </w:rPr>
          <w:t>http://ec.europa.eu/budget/explained/management/protecting/protect_en.cfm</w:t>
        </w:r>
      </w:hyperlink>
      <w:r w:rsidRPr="00907182">
        <w:rPr>
          <w:color w:val="2B579A"/>
          <w:szCs w:val="22"/>
          <w:shd w:val="clear" w:color="auto" w:fill="E6E6E6"/>
        </w:rPr>
        <w:t xml:space="preserve"> </w:t>
      </w:r>
    </w:p>
    <w:p w14:paraId="63975EA3" w14:textId="77777777" w:rsidR="0007408E" w:rsidRPr="00807DAF" w:rsidRDefault="0007408E" w:rsidP="00EA610C">
      <w:pPr>
        <w:pStyle w:val="Guidelines1"/>
        <w:numPr>
          <w:ilvl w:val="0"/>
          <w:numId w:val="6"/>
        </w:numPr>
      </w:pPr>
      <w:bookmarkStart w:id="108" w:name="_Toc40507656"/>
      <w:bookmarkStart w:id="109" w:name="_Toc185257695"/>
      <w:bookmarkEnd w:id="105"/>
      <w:bookmarkEnd w:id="107"/>
      <w:r w:rsidRPr="00807DAF">
        <w:t>annexes</w:t>
      </w:r>
      <w:bookmarkEnd w:id="108"/>
      <w:bookmarkEnd w:id="109"/>
    </w:p>
    <w:p w14:paraId="41166EED" w14:textId="77777777" w:rsidR="00112E4F" w:rsidRPr="00807DAF" w:rsidRDefault="00112E4F" w:rsidP="00F36C74">
      <w:pPr>
        <w:spacing w:after="120" w:line="240" w:lineRule="atLeast"/>
        <w:rPr>
          <w:b/>
          <w:smallCaps/>
        </w:rPr>
      </w:pPr>
      <w:bookmarkStart w:id="110" w:name="_Toc40507657"/>
      <w:r w:rsidRPr="00807DAF">
        <w:rPr>
          <w:b/>
          <w:smallCaps/>
        </w:rPr>
        <w:t>D</w:t>
      </w:r>
      <w:r w:rsidR="00600738" w:rsidRPr="00807DAF">
        <w:rPr>
          <w:b/>
          <w:smallCaps/>
        </w:rPr>
        <w:t>ocuments to</w:t>
      </w:r>
      <w:r w:rsidRPr="00807DAF">
        <w:rPr>
          <w:b/>
          <w:smallCaps/>
        </w:rPr>
        <w:t xml:space="preserve"> </w:t>
      </w:r>
      <w:r w:rsidR="00E708CB" w:rsidRPr="00807DAF">
        <w:rPr>
          <w:b/>
          <w:smallCaps/>
        </w:rPr>
        <w:t>be completed</w:t>
      </w:r>
    </w:p>
    <w:tbl>
      <w:tblPr>
        <w:tblW w:w="0" w:type="auto"/>
        <w:tblInd w:w="108" w:type="dxa"/>
        <w:tblLook w:val="04A0" w:firstRow="1" w:lastRow="0" w:firstColumn="1" w:lastColumn="0" w:noHBand="0" w:noVBand="1"/>
      </w:tblPr>
      <w:tblGrid>
        <w:gridCol w:w="1818"/>
        <w:gridCol w:w="7712"/>
      </w:tblGrid>
      <w:tr w:rsidR="00B374BF" w14:paraId="7DCE21F0" w14:textId="77777777">
        <w:tc>
          <w:tcPr>
            <w:tcW w:w="1843" w:type="dxa"/>
            <w:shd w:val="clear" w:color="auto" w:fill="auto"/>
          </w:tcPr>
          <w:p w14:paraId="14AA6087" w14:textId="77777777" w:rsidR="00B374BF" w:rsidRDefault="00B374BF">
            <w:pPr>
              <w:spacing w:after="120" w:line="240" w:lineRule="atLeast"/>
            </w:pPr>
            <w:bookmarkStart w:id="111" w:name="_Hlk163811012"/>
            <w:r w:rsidRPr="00807DAF">
              <w:t>Annex A</w:t>
            </w:r>
          </w:p>
        </w:tc>
        <w:tc>
          <w:tcPr>
            <w:tcW w:w="7903" w:type="dxa"/>
            <w:shd w:val="clear" w:color="auto" w:fill="auto"/>
          </w:tcPr>
          <w:p w14:paraId="6745DA21" w14:textId="77777777" w:rsidR="00B374BF" w:rsidRDefault="00B374BF">
            <w:pPr>
              <w:spacing w:after="120" w:line="240" w:lineRule="atLeast"/>
            </w:pPr>
            <w:r w:rsidRPr="00807DAF">
              <w:t xml:space="preserve">Grant </w:t>
            </w:r>
            <w:r>
              <w:t>a</w:t>
            </w:r>
            <w:r w:rsidRPr="00807DAF">
              <w:t xml:space="preserve">pplication </w:t>
            </w:r>
            <w:r>
              <w:t>f</w:t>
            </w:r>
            <w:r w:rsidRPr="00807DAF">
              <w:t>orm (Word format)</w:t>
            </w:r>
          </w:p>
        </w:tc>
      </w:tr>
      <w:tr w:rsidR="00B374BF" w14:paraId="14EBD27A" w14:textId="77777777">
        <w:tc>
          <w:tcPr>
            <w:tcW w:w="1843" w:type="dxa"/>
            <w:shd w:val="clear" w:color="auto" w:fill="auto"/>
          </w:tcPr>
          <w:p w14:paraId="67F9015A" w14:textId="77777777" w:rsidR="00B374BF" w:rsidRDefault="00B374BF">
            <w:pPr>
              <w:spacing w:after="120" w:line="240" w:lineRule="atLeast"/>
              <w:ind w:left="171"/>
            </w:pPr>
            <w:r>
              <w:t>A.1</w:t>
            </w:r>
          </w:p>
        </w:tc>
        <w:tc>
          <w:tcPr>
            <w:tcW w:w="7903" w:type="dxa"/>
            <w:shd w:val="clear" w:color="auto" w:fill="auto"/>
          </w:tcPr>
          <w:p w14:paraId="56B5BBA0" w14:textId="77777777" w:rsidR="00B374BF" w:rsidRDefault="00B374BF">
            <w:pPr>
              <w:spacing w:after="120" w:line="240" w:lineRule="atLeast"/>
            </w:pPr>
            <w:r>
              <w:t>Concept note</w:t>
            </w:r>
          </w:p>
        </w:tc>
      </w:tr>
      <w:tr w:rsidR="00B374BF" w14:paraId="5F62DC65" w14:textId="77777777">
        <w:tc>
          <w:tcPr>
            <w:tcW w:w="1843" w:type="dxa"/>
            <w:shd w:val="clear" w:color="auto" w:fill="auto"/>
          </w:tcPr>
          <w:p w14:paraId="35F654A2" w14:textId="77777777" w:rsidR="00B374BF" w:rsidRDefault="00B374BF">
            <w:pPr>
              <w:spacing w:after="120" w:line="240" w:lineRule="atLeast"/>
              <w:ind w:left="171"/>
            </w:pPr>
            <w:r>
              <w:lastRenderedPageBreak/>
              <w:t>A.2</w:t>
            </w:r>
          </w:p>
        </w:tc>
        <w:tc>
          <w:tcPr>
            <w:tcW w:w="7903" w:type="dxa"/>
            <w:shd w:val="clear" w:color="auto" w:fill="auto"/>
          </w:tcPr>
          <w:p w14:paraId="46199B2D" w14:textId="77777777" w:rsidR="00B374BF" w:rsidRDefault="00B374BF">
            <w:pPr>
              <w:spacing w:after="120" w:line="240" w:lineRule="atLeast"/>
            </w:pPr>
            <w:r>
              <w:t>Full application form</w:t>
            </w:r>
          </w:p>
        </w:tc>
      </w:tr>
      <w:tr w:rsidR="00B374BF" w14:paraId="695C2269" w14:textId="77777777">
        <w:tc>
          <w:tcPr>
            <w:tcW w:w="1843" w:type="dxa"/>
            <w:shd w:val="clear" w:color="auto" w:fill="auto"/>
          </w:tcPr>
          <w:p w14:paraId="6EAE00BB" w14:textId="77777777" w:rsidR="00B374BF" w:rsidRDefault="00B374BF">
            <w:pPr>
              <w:spacing w:after="120" w:line="240" w:lineRule="atLeast"/>
              <w:ind w:firstLine="174"/>
            </w:pPr>
            <w:r w:rsidRPr="00807DAF">
              <w:t>Annex B</w:t>
            </w:r>
          </w:p>
        </w:tc>
        <w:tc>
          <w:tcPr>
            <w:tcW w:w="7903" w:type="dxa"/>
            <w:shd w:val="clear" w:color="auto" w:fill="auto"/>
          </w:tcPr>
          <w:p w14:paraId="245EF14F" w14:textId="77777777" w:rsidR="00B374BF" w:rsidRDefault="00B374BF">
            <w:pPr>
              <w:spacing w:after="120" w:line="240" w:lineRule="atLeast"/>
            </w:pPr>
            <w:r w:rsidRPr="00807DAF">
              <w:t>Budget (Excel format)</w:t>
            </w:r>
          </w:p>
        </w:tc>
      </w:tr>
      <w:tr w:rsidR="00B374BF" w14:paraId="7BE2D5E4" w14:textId="77777777">
        <w:tc>
          <w:tcPr>
            <w:tcW w:w="1843" w:type="dxa"/>
            <w:shd w:val="clear" w:color="auto" w:fill="auto"/>
          </w:tcPr>
          <w:p w14:paraId="0EA117A0" w14:textId="77777777" w:rsidR="00B374BF" w:rsidRDefault="00B374BF">
            <w:pPr>
              <w:spacing w:after="120" w:line="240" w:lineRule="atLeast"/>
              <w:ind w:firstLine="174"/>
            </w:pPr>
            <w:r w:rsidRPr="00F53E16">
              <w:t>Annex C</w:t>
            </w:r>
          </w:p>
        </w:tc>
        <w:tc>
          <w:tcPr>
            <w:tcW w:w="7903" w:type="dxa"/>
            <w:shd w:val="clear" w:color="auto" w:fill="auto"/>
          </w:tcPr>
          <w:p w14:paraId="551403CE" w14:textId="77777777" w:rsidR="00B374BF" w:rsidRDefault="00B374BF">
            <w:pPr>
              <w:spacing w:after="120" w:line="240" w:lineRule="atLeast"/>
            </w:pPr>
            <w:r w:rsidRPr="00F53E16">
              <w:t xml:space="preserve">Logical </w:t>
            </w:r>
            <w:r>
              <w:t>f</w:t>
            </w:r>
            <w:r w:rsidRPr="00F53E16">
              <w:t>ramework (Excel format)</w:t>
            </w:r>
          </w:p>
        </w:tc>
      </w:tr>
      <w:tr w:rsidR="00B374BF" w14:paraId="4D3252AE" w14:textId="77777777">
        <w:tc>
          <w:tcPr>
            <w:tcW w:w="1843" w:type="dxa"/>
            <w:shd w:val="clear" w:color="auto" w:fill="auto"/>
          </w:tcPr>
          <w:p w14:paraId="483486C9" w14:textId="77777777" w:rsidR="00B374BF" w:rsidRDefault="00B374BF">
            <w:pPr>
              <w:spacing w:after="120" w:line="240" w:lineRule="atLeast"/>
              <w:ind w:firstLine="174"/>
            </w:pPr>
            <w:r w:rsidRPr="00BA6979">
              <w:t>Annex D</w:t>
            </w:r>
          </w:p>
        </w:tc>
        <w:tc>
          <w:tcPr>
            <w:tcW w:w="7903" w:type="dxa"/>
            <w:shd w:val="clear" w:color="auto" w:fill="auto"/>
          </w:tcPr>
          <w:p w14:paraId="2223A9B5" w14:textId="77777777" w:rsidR="00B374BF" w:rsidRDefault="00BD0B78">
            <w:pPr>
              <w:spacing w:after="120" w:line="240" w:lineRule="atLeast"/>
            </w:pPr>
            <w:r>
              <w:t>[Not applicable]</w:t>
            </w:r>
          </w:p>
        </w:tc>
      </w:tr>
      <w:tr w:rsidR="00B374BF" w14:paraId="3CF20454" w14:textId="77777777">
        <w:tc>
          <w:tcPr>
            <w:tcW w:w="1843" w:type="dxa"/>
            <w:shd w:val="clear" w:color="auto" w:fill="auto"/>
          </w:tcPr>
          <w:p w14:paraId="1E9AB375" w14:textId="77777777" w:rsidR="00B374BF" w:rsidRDefault="00B374BF">
            <w:pPr>
              <w:spacing w:after="120" w:line="240" w:lineRule="atLeast"/>
              <w:ind w:firstLine="174"/>
            </w:pPr>
            <w:r w:rsidRPr="00BA6979">
              <w:t>Annex E</w:t>
            </w:r>
          </w:p>
        </w:tc>
        <w:tc>
          <w:tcPr>
            <w:tcW w:w="7903" w:type="dxa"/>
            <w:shd w:val="clear" w:color="auto" w:fill="auto"/>
          </w:tcPr>
          <w:p w14:paraId="2FE3459A" w14:textId="77777777" w:rsidR="00B374BF" w:rsidRDefault="00BD0B78">
            <w:pPr>
              <w:spacing w:after="120" w:line="240" w:lineRule="atLeast"/>
            </w:pPr>
            <w:r>
              <w:t>[Not applicable]</w:t>
            </w:r>
          </w:p>
        </w:tc>
      </w:tr>
      <w:tr w:rsidR="00B374BF" w14:paraId="75AE6C87" w14:textId="77777777">
        <w:tc>
          <w:tcPr>
            <w:tcW w:w="1843" w:type="dxa"/>
            <w:shd w:val="clear" w:color="auto" w:fill="auto"/>
          </w:tcPr>
          <w:p w14:paraId="2B9CED1F" w14:textId="77777777" w:rsidR="00B374BF" w:rsidRDefault="00B374BF">
            <w:pPr>
              <w:spacing w:after="120" w:line="240" w:lineRule="atLeast"/>
              <w:ind w:firstLine="174"/>
            </w:pPr>
            <w:r>
              <w:t>Annex F</w:t>
            </w:r>
          </w:p>
        </w:tc>
        <w:tc>
          <w:tcPr>
            <w:tcW w:w="7903" w:type="dxa"/>
            <w:shd w:val="clear" w:color="auto" w:fill="auto"/>
          </w:tcPr>
          <w:p w14:paraId="3E41999A" w14:textId="77777777" w:rsidR="00B374BF" w:rsidRDefault="00B374BF">
            <w:pPr>
              <w:spacing w:after="120" w:line="240" w:lineRule="atLeast"/>
            </w:pPr>
            <w:r>
              <w:t xml:space="preserve">PADOR </w:t>
            </w:r>
            <w:r w:rsidRPr="001F4A09">
              <w:t>registration form</w:t>
            </w:r>
          </w:p>
        </w:tc>
      </w:tr>
      <w:tr w:rsidR="00B374BF" w14:paraId="5CE7A52C" w14:textId="77777777">
        <w:tc>
          <w:tcPr>
            <w:tcW w:w="1843" w:type="dxa"/>
            <w:shd w:val="clear" w:color="auto" w:fill="auto"/>
          </w:tcPr>
          <w:p w14:paraId="3F86711A" w14:textId="77777777" w:rsidR="00B374BF" w:rsidRDefault="00B374BF">
            <w:pPr>
              <w:spacing w:after="120" w:line="240" w:lineRule="atLeast"/>
              <w:ind w:firstLine="174"/>
            </w:pPr>
            <w:r>
              <w:rPr>
                <w:szCs w:val="22"/>
              </w:rPr>
              <w:t>Annex H</w:t>
            </w:r>
          </w:p>
        </w:tc>
        <w:tc>
          <w:tcPr>
            <w:tcW w:w="7903" w:type="dxa"/>
            <w:shd w:val="clear" w:color="auto" w:fill="auto"/>
          </w:tcPr>
          <w:p w14:paraId="23ADC83E" w14:textId="77777777" w:rsidR="00B374BF" w:rsidRDefault="00B374BF">
            <w:pPr>
              <w:spacing w:after="120" w:line="240" w:lineRule="atLeast"/>
            </w:pPr>
            <w:r>
              <w:rPr>
                <w:szCs w:val="22"/>
              </w:rPr>
              <w:t>Declaration on Honour</w:t>
            </w:r>
            <w:r w:rsidR="00722200">
              <w:rPr>
                <w:szCs w:val="22"/>
              </w:rPr>
              <w:t xml:space="preserve"> on exclusion criteria</w:t>
            </w:r>
          </w:p>
        </w:tc>
      </w:tr>
      <w:tr w:rsidR="001D7ABB" w:rsidRPr="00B522D3" w14:paraId="4E1C075F" w14:textId="77777777">
        <w:tc>
          <w:tcPr>
            <w:tcW w:w="1843" w:type="dxa"/>
            <w:shd w:val="clear" w:color="auto" w:fill="auto"/>
          </w:tcPr>
          <w:p w14:paraId="3DB88118" w14:textId="77777777" w:rsidR="001D7ABB" w:rsidRDefault="001D7ABB">
            <w:pPr>
              <w:spacing w:after="120" w:line="240" w:lineRule="atLeast"/>
              <w:ind w:firstLine="174"/>
              <w:rPr>
                <w:szCs w:val="22"/>
              </w:rPr>
            </w:pPr>
            <w:r>
              <w:rPr>
                <w:szCs w:val="22"/>
                <w:lang w:val="fr-BE"/>
              </w:rPr>
              <w:t>Annex L</w:t>
            </w:r>
          </w:p>
        </w:tc>
        <w:tc>
          <w:tcPr>
            <w:tcW w:w="7903" w:type="dxa"/>
            <w:shd w:val="clear" w:color="auto" w:fill="auto"/>
          </w:tcPr>
          <w:p w14:paraId="6A3D5613" w14:textId="77777777" w:rsidR="001D7ABB" w:rsidRDefault="001D7ABB">
            <w:pPr>
              <w:spacing w:after="120" w:line="240" w:lineRule="atLeast"/>
              <w:rPr>
                <w:szCs w:val="22"/>
                <w:lang w:val="fr-FR"/>
              </w:rPr>
            </w:pPr>
            <w:r>
              <w:rPr>
                <w:szCs w:val="22"/>
                <w:lang w:val="fr-BE"/>
              </w:rPr>
              <w:t>Self-</w:t>
            </w:r>
            <w:proofErr w:type="spellStart"/>
            <w:r>
              <w:rPr>
                <w:szCs w:val="22"/>
                <w:lang w:val="fr-BE"/>
              </w:rPr>
              <w:t>evaluation</w:t>
            </w:r>
            <w:proofErr w:type="spellEnd"/>
            <w:r>
              <w:rPr>
                <w:szCs w:val="22"/>
                <w:lang w:val="fr-BE"/>
              </w:rPr>
              <w:t xml:space="preserve"> questionnaire on SEA-H</w:t>
            </w:r>
          </w:p>
        </w:tc>
      </w:tr>
    </w:tbl>
    <w:p w14:paraId="245393A4" w14:textId="77777777" w:rsidR="00112E4F" w:rsidRPr="001D7ABB" w:rsidRDefault="00112E4F" w:rsidP="00F36C74">
      <w:pPr>
        <w:spacing w:after="120" w:line="240" w:lineRule="atLeast"/>
        <w:rPr>
          <w:b/>
          <w:smallCaps/>
          <w:szCs w:val="22"/>
        </w:rPr>
      </w:pPr>
      <w:bookmarkStart w:id="112" w:name="_Toc40507661"/>
      <w:bookmarkEnd w:id="110"/>
      <w:bookmarkEnd w:id="111"/>
      <w:r w:rsidRPr="001D7ABB">
        <w:rPr>
          <w:b/>
          <w:smallCaps/>
          <w:szCs w:val="22"/>
        </w:rPr>
        <w:t>D</w:t>
      </w:r>
      <w:r w:rsidR="001D7ABB">
        <w:rPr>
          <w:b/>
          <w:smallCaps/>
          <w:szCs w:val="22"/>
        </w:rPr>
        <w:t>ocuments for information</w:t>
      </w:r>
      <w:r w:rsidR="0025435C" w:rsidRPr="001D7ABB">
        <w:rPr>
          <w:rStyle w:val="Funotenzeichen"/>
          <w:b/>
          <w:smallCaps/>
          <w:sz w:val="22"/>
          <w:szCs w:val="22"/>
          <w:lang w:val="fr-FR"/>
        </w:rPr>
        <w:footnoteReference w:id="24"/>
      </w:r>
    </w:p>
    <w:tbl>
      <w:tblPr>
        <w:tblW w:w="0" w:type="auto"/>
        <w:tblInd w:w="108" w:type="dxa"/>
        <w:tblLook w:val="04A0" w:firstRow="1" w:lastRow="0" w:firstColumn="1" w:lastColumn="0" w:noHBand="0" w:noVBand="1"/>
      </w:tblPr>
      <w:tblGrid>
        <w:gridCol w:w="1791"/>
        <w:gridCol w:w="7739"/>
      </w:tblGrid>
      <w:tr w:rsidR="00B374BF" w14:paraId="3B7E5D41" w14:textId="77777777">
        <w:tc>
          <w:tcPr>
            <w:tcW w:w="1843" w:type="dxa"/>
            <w:shd w:val="clear" w:color="auto" w:fill="auto"/>
          </w:tcPr>
          <w:p w14:paraId="3553C309" w14:textId="77777777" w:rsidR="00B374BF" w:rsidRDefault="00B374BF">
            <w:pPr>
              <w:spacing w:after="120" w:line="240" w:lineRule="atLeast"/>
              <w:ind w:firstLine="174"/>
            </w:pPr>
            <w:bookmarkStart w:id="113" w:name="_Hlk163811035"/>
            <w:r w:rsidRPr="00C20B41">
              <w:t xml:space="preserve">Annex </w:t>
            </w:r>
            <w:r>
              <w:t>G</w:t>
            </w:r>
          </w:p>
        </w:tc>
        <w:tc>
          <w:tcPr>
            <w:tcW w:w="7903" w:type="dxa"/>
            <w:shd w:val="clear" w:color="auto" w:fill="auto"/>
          </w:tcPr>
          <w:p w14:paraId="696DFC8B" w14:textId="77777777" w:rsidR="00B374BF" w:rsidRDefault="00B374BF">
            <w:pPr>
              <w:spacing w:after="120" w:line="240" w:lineRule="atLeast"/>
            </w:pPr>
            <w:r w:rsidRPr="00C20B41">
              <w:t>Standard grant contract</w:t>
            </w:r>
          </w:p>
        </w:tc>
      </w:tr>
      <w:tr w:rsidR="00B374BF" w14:paraId="3B038DD8" w14:textId="77777777">
        <w:tc>
          <w:tcPr>
            <w:tcW w:w="1843" w:type="dxa"/>
            <w:shd w:val="clear" w:color="auto" w:fill="auto"/>
          </w:tcPr>
          <w:p w14:paraId="79CC4AA5" w14:textId="77777777" w:rsidR="00B374BF" w:rsidRDefault="00B374BF">
            <w:pPr>
              <w:spacing w:after="120" w:line="240" w:lineRule="atLeast"/>
              <w:ind w:left="171"/>
            </w:pPr>
            <w:r w:rsidRPr="00807DAF">
              <w:t>Annex II</w:t>
            </w:r>
          </w:p>
        </w:tc>
        <w:tc>
          <w:tcPr>
            <w:tcW w:w="7903" w:type="dxa"/>
            <w:shd w:val="clear" w:color="auto" w:fill="auto"/>
          </w:tcPr>
          <w:p w14:paraId="2D589973" w14:textId="77777777" w:rsidR="00B374BF" w:rsidRDefault="00B374BF">
            <w:pPr>
              <w:spacing w:after="120" w:line="240" w:lineRule="atLeast"/>
              <w:ind w:left="315" w:hanging="315"/>
            </w:pPr>
            <w:r>
              <w:t>G</w:t>
            </w:r>
            <w:r w:rsidRPr="00807DAF">
              <w:t>eneral conditions</w:t>
            </w:r>
          </w:p>
        </w:tc>
      </w:tr>
      <w:tr w:rsidR="00B374BF" w14:paraId="704CB2D2" w14:textId="77777777">
        <w:tc>
          <w:tcPr>
            <w:tcW w:w="1843" w:type="dxa"/>
            <w:shd w:val="clear" w:color="auto" w:fill="auto"/>
          </w:tcPr>
          <w:p w14:paraId="126572BC" w14:textId="77777777" w:rsidR="00B374BF" w:rsidRDefault="00B374BF">
            <w:pPr>
              <w:spacing w:after="120" w:line="240" w:lineRule="atLeast"/>
              <w:ind w:left="171"/>
            </w:pPr>
            <w:r w:rsidRPr="00807DAF">
              <w:t>Annex IV</w:t>
            </w:r>
          </w:p>
        </w:tc>
        <w:tc>
          <w:tcPr>
            <w:tcW w:w="7903" w:type="dxa"/>
            <w:shd w:val="clear" w:color="auto" w:fill="auto"/>
          </w:tcPr>
          <w:p w14:paraId="58EF52EA" w14:textId="77777777" w:rsidR="00B374BF" w:rsidRDefault="00B374BF">
            <w:pPr>
              <w:spacing w:after="120" w:line="240" w:lineRule="atLeast"/>
              <w:ind w:left="315" w:hanging="315"/>
            </w:pPr>
            <w:r>
              <w:t>C</w:t>
            </w:r>
            <w:r w:rsidRPr="00807DAF">
              <w:t xml:space="preserve">ontract award </w:t>
            </w:r>
            <w:r>
              <w:t>rules</w:t>
            </w:r>
          </w:p>
        </w:tc>
      </w:tr>
      <w:tr w:rsidR="00B374BF" w14:paraId="56C7B63C" w14:textId="77777777">
        <w:tc>
          <w:tcPr>
            <w:tcW w:w="1843" w:type="dxa"/>
            <w:shd w:val="clear" w:color="auto" w:fill="auto"/>
          </w:tcPr>
          <w:p w14:paraId="49751DFF" w14:textId="77777777" w:rsidR="00B374BF" w:rsidRDefault="00B374BF">
            <w:pPr>
              <w:spacing w:after="120" w:line="240" w:lineRule="atLeast"/>
              <w:ind w:left="171"/>
            </w:pPr>
            <w:r w:rsidRPr="00807DAF">
              <w:t>Annex V</w:t>
            </w:r>
          </w:p>
        </w:tc>
        <w:tc>
          <w:tcPr>
            <w:tcW w:w="7903" w:type="dxa"/>
            <w:shd w:val="clear" w:color="auto" w:fill="auto"/>
          </w:tcPr>
          <w:p w14:paraId="2D0C9548" w14:textId="77777777" w:rsidR="00B374BF" w:rsidRDefault="00B374BF">
            <w:pPr>
              <w:spacing w:after="120" w:line="240" w:lineRule="atLeast"/>
              <w:ind w:left="315" w:hanging="315"/>
            </w:pPr>
            <w:r>
              <w:t>S</w:t>
            </w:r>
            <w:r w:rsidRPr="00807DAF">
              <w:t>tandard request for payment</w:t>
            </w:r>
          </w:p>
        </w:tc>
      </w:tr>
      <w:tr w:rsidR="00B374BF" w14:paraId="626E94A2" w14:textId="77777777">
        <w:tc>
          <w:tcPr>
            <w:tcW w:w="1843" w:type="dxa"/>
            <w:shd w:val="clear" w:color="auto" w:fill="auto"/>
          </w:tcPr>
          <w:p w14:paraId="46A6F5C9" w14:textId="77777777" w:rsidR="00B374BF" w:rsidRDefault="00B374BF">
            <w:pPr>
              <w:spacing w:after="120" w:line="240" w:lineRule="atLeast"/>
              <w:ind w:left="171"/>
            </w:pPr>
            <w:r w:rsidRPr="00807DAF">
              <w:t>Annex VI</w:t>
            </w:r>
          </w:p>
        </w:tc>
        <w:tc>
          <w:tcPr>
            <w:tcW w:w="7903" w:type="dxa"/>
            <w:shd w:val="clear" w:color="auto" w:fill="auto"/>
          </w:tcPr>
          <w:p w14:paraId="0E2FFFA2" w14:textId="77777777" w:rsidR="00B374BF" w:rsidRDefault="00B374BF">
            <w:pPr>
              <w:spacing w:after="120" w:line="240" w:lineRule="atLeast"/>
              <w:ind w:left="35"/>
            </w:pPr>
            <w:r>
              <w:t>M</w:t>
            </w:r>
            <w:r w:rsidRPr="00807DAF">
              <w:t>odel narrative and financial report</w:t>
            </w:r>
          </w:p>
        </w:tc>
      </w:tr>
      <w:tr w:rsidR="00B374BF" w14:paraId="0FB19389" w14:textId="77777777">
        <w:tc>
          <w:tcPr>
            <w:tcW w:w="1843" w:type="dxa"/>
            <w:shd w:val="clear" w:color="auto" w:fill="auto"/>
          </w:tcPr>
          <w:p w14:paraId="47490030" w14:textId="77777777" w:rsidR="00B374BF" w:rsidRDefault="00B374BF">
            <w:pPr>
              <w:spacing w:after="120" w:line="240" w:lineRule="atLeast"/>
              <w:ind w:left="171"/>
            </w:pPr>
            <w:r w:rsidRPr="00BA6979">
              <w:t>Annex VII</w:t>
            </w:r>
            <w:r w:rsidR="007259CB">
              <w:t>-A</w:t>
            </w:r>
          </w:p>
          <w:p w14:paraId="56991C82" w14:textId="77777777" w:rsidR="00980482" w:rsidRDefault="00980482">
            <w:pPr>
              <w:spacing w:after="120" w:line="240" w:lineRule="atLeast"/>
              <w:ind w:firstLine="174"/>
            </w:pPr>
          </w:p>
          <w:p w14:paraId="4AE796B8" w14:textId="77777777" w:rsidR="00702B09" w:rsidRDefault="00702B09">
            <w:pPr>
              <w:spacing w:after="120" w:line="240" w:lineRule="atLeast"/>
              <w:ind w:firstLine="174"/>
            </w:pPr>
            <w:r>
              <w:t>Annex VII-B</w:t>
            </w:r>
          </w:p>
        </w:tc>
        <w:tc>
          <w:tcPr>
            <w:tcW w:w="7903" w:type="dxa"/>
            <w:shd w:val="clear" w:color="auto" w:fill="auto"/>
          </w:tcPr>
          <w:p w14:paraId="318DF579" w14:textId="77777777" w:rsidR="00B374BF" w:rsidRDefault="00B374BF">
            <w:pPr>
              <w:spacing w:after="120" w:line="240" w:lineRule="atLeast"/>
              <w:ind w:left="35"/>
            </w:pPr>
            <w:r>
              <w:t>M</w:t>
            </w:r>
            <w:r w:rsidRPr="00BA6979">
              <w:t>odel report of factual findings and terms of reference for an expenditure verification of an EU financed grant contract for external action</w:t>
            </w:r>
          </w:p>
          <w:p w14:paraId="2E0EFAA0" w14:textId="77777777" w:rsidR="00702B09" w:rsidRDefault="00702B09">
            <w:pPr>
              <w:spacing w:after="120" w:line="240" w:lineRule="atLeast"/>
            </w:pPr>
            <w:r>
              <w:t xml:space="preserve">Terms of reference for a </w:t>
            </w:r>
            <w:proofErr w:type="gramStart"/>
            <w:r>
              <w:t>third party</w:t>
            </w:r>
            <w:proofErr w:type="gramEnd"/>
            <w:r>
              <w:t xml:space="preserve"> assessment in case of financing not linked to costs</w:t>
            </w:r>
          </w:p>
        </w:tc>
      </w:tr>
      <w:tr w:rsidR="00B374BF" w14:paraId="218E5F8C" w14:textId="77777777">
        <w:tc>
          <w:tcPr>
            <w:tcW w:w="1843" w:type="dxa"/>
            <w:shd w:val="clear" w:color="auto" w:fill="auto"/>
          </w:tcPr>
          <w:p w14:paraId="2A75A638" w14:textId="77777777" w:rsidR="00B374BF" w:rsidRDefault="00B374BF">
            <w:pPr>
              <w:spacing w:after="120" w:line="240" w:lineRule="atLeast"/>
              <w:ind w:left="171"/>
            </w:pPr>
            <w:r w:rsidRPr="00807DAF">
              <w:t>Annex VIII</w:t>
            </w:r>
          </w:p>
        </w:tc>
        <w:tc>
          <w:tcPr>
            <w:tcW w:w="7903" w:type="dxa"/>
            <w:shd w:val="clear" w:color="auto" w:fill="auto"/>
          </w:tcPr>
          <w:p w14:paraId="7E7675B3" w14:textId="77777777" w:rsidR="00B374BF" w:rsidRDefault="00B374BF">
            <w:pPr>
              <w:spacing w:after="120" w:line="240" w:lineRule="atLeast"/>
              <w:ind w:left="315" w:hanging="315"/>
            </w:pPr>
            <w:r>
              <w:t>M</w:t>
            </w:r>
            <w:r w:rsidRPr="00807DAF">
              <w:t>odel financial guarantee</w:t>
            </w:r>
          </w:p>
        </w:tc>
      </w:tr>
      <w:tr w:rsidR="00B374BF" w14:paraId="2EF41B4E" w14:textId="77777777">
        <w:tc>
          <w:tcPr>
            <w:tcW w:w="1843" w:type="dxa"/>
            <w:shd w:val="clear" w:color="auto" w:fill="auto"/>
          </w:tcPr>
          <w:p w14:paraId="6DF439B9" w14:textId="77777777" w:rsidR="00B374BF" w:rsidRDefault="00B374BF">
            <w:pPr>
              <w:spacing w:after="120" w:line="240" w:lineRule="atLeast"/>
              <w:ind w:left="171"/>
            </w:pPr>
            <w:r>
              <w:t>Annex IX</w:t>
            </w:r>
          </w:p>
        </w:tc>
        <w:tc>
          <w:tcPr>
            <w:tcW w:w="7903" w:type="dxa"/>
            <w:shd w:val="clear" w:color="auto" w:fill="auto"/>
          </w:tcPr>
          <w:p w14:paraId="4D57736E" w14:textId="77777777" w:rsidR="00B374BF" w:rsidRDefault="00B374BF">
            <w:pPr>
              <w:spacing w:after="120" w:line="240" w:lineRule="atLeast"/>
              <w:ind w:left="315" w:hanging="315"/>
            </w:pPr>
            <w:r>
              <w:t>Standard template for transfer of ownership of assets</w:t>
            </w:r>
          </w:p>
        </w:tc>
      </w:tr>
      <w:tr w:rsidR="00B374BF" w14:paraId="0E72AF8D" w14:textId="77777777">
        <w:tc>
          <w:tcPr>
            <w:tcW w:w="1843" w:type="dxa"/>
            <w:shd w:val="clear" w:color="auto" w:fill="auto"/>
          </w:tcPr>
          <w:p w14:paraId="65C838BB" w14:textId="77777777" w:rsidR="00B374BF" w:rsidRDefault="00B374BF">
            <w:pPr>
              <w:spacing w:after="120" w:line="240" w:lineRule="atLeast"/>
              <w:ind w:firstLine="174"/>
            </w:pPr>
            <w:r>
              <w:rPr>
                <w:szCs w:val="22"/>
              </w:rPr>
              <w:t>Annex I</w:t>
            </w:r>
          </w:p>
        </w:tc>
        <w:tc>
          <w:tcPr>
            <w:tcW w:w="7903" w:type="dxa"/>
            <w:shd w:val="clear" w:color="auto" w:fill="auto"/>
          </w:tcPr>
          <w:p w14:paraId="4D353D04" w14:textId="77777777" w:rsidR="00B374BF" w:rsidRDefault="00B374BF">
            <w:pPr>
              <w:spacing w:after="120" w:line="240" w:lineRule="atLeast"/>
            </w:pPr>
            <w:r>
              <w:rPr>
                <w:szCs w:val="22"/>
              </w:rPr>
              <w:t xml:space="preserve">Daily allowance rates (per diem), available at the following address: </w:t>
            </w:r>
            <w:hyperlink r:id="rId42" w:history="1">
              <w:r w:rsidRPr="009C01D2">
                <w:rPr>
                  <w:rStyle w:val="Hyperlink"/>
                </w:rPr>
                <w:t>https://international-partnerships.ec.europa.eu/funding/guidelines/managing-project/diem-rates_en</w:t>
              </w:r>
            </w:hyperlink>
            <w:r>
              <w:t xml:space="preserve">  </w:t>
            </w:r>
          </w:p>
        </w:tc>
      </w:tr>
      <w:tr w:rsidR="00B374BF" w14:paraId="4DF2652D" w14:textId="77777777">
        <w:tc>
          <w:tcPr>
            <w:tcW w:w="1843" w:type="dxa"/>
            <w:shd w:val="clear" w:color="auto" w:fill="auto"/>
          </w:tcPr>
          <w:p w14:paraId="60C579AE" w14:textId="77777777" w:rsidR="00B374BF" w:rsidRDefault="001D7ABB">
            <w:pPr>
              <w:spacing w:after="120" w:line="240" w:lineRule="atLeast"/>
              <w:ind w:firstLine="174"/>
            </w:pPr>
            <w:r>
              <w:rPr>
                <w:szCs w:val="22"/>
              </w:rPr>
              <w:t>Annex J</w:t>
            </w:r>
          </w:p>
        </w:tc>
        <w:tc>
          <w:tcPr>
            <w:tcW w:w="7903" w:type="dxa"/>
            <w:shd w:val="clear" w:color="auto" w:fill="auto"/>
          </w:tcPr>
          <w:p w14:paraId="12D9F0AA" w14:textId="77777777" w:rsidR="00B374BF" w:rsidRDefault="001D7ABB">
            <w:pPr>
              <w:spacing w:after="120" w:line="240" w:lineRule="atLeast"/>
            </w:pPr>
            <w:r>
              <w:rPr>
                <w:szCs w:val="22"/>
              </w:rPr>
              <w:t>Information on the tax regime applicable to grant contracts signed under the call.</w:t>
            </w:r>
          </w:p>
        </w:tc>
      </w:tr>
      <w:tr w:rsidR="00B374BF" w14:paraId="3ACD2344" w14:textId="77777777">
        <w:tc>
          <w:tcPr>
            <w:tcW w:w="1843" w:type="dxa"/>
            <w:shd w:val="clear" w:color="auto" w:fill="auto"/>
          </w:tcPr>
          <w:p w14:paraId="67204AC2" w14:textId="77777777" w:rsidR="00B374BF" w:rsidRDefault="001D7ABB">
            <w:pPr>
              <w:spacing w:after="120" w:line="240" w:lineRule="atLeast"/>
              <w:ind w:firstLine="174"/>
            </w:pPr>
            <w:r>
              <w:rPr>
                <w:szCs w:val="22"/>
              </w:rPr>
              <w:t>Annex K</w:t>
            </w:r>
          </w:p>
        </w:tc>
        <w:tc>
          <w:tcPr>
            <w:tcW w:w="7903" w:type="dxa"/>
            <w:shd w:val="clear" w:color="auto" w:fill="auto"/>
          </w:tcPr>
          <w:p w14:paraId="5CE0E564" w14:textId="77777777" w:rsidR="00B374BF" w:rsidRDefault="007259CB">
            <w:pPr>
              <w:spacing w:after="120" w:line="240" w:lineRule="atLeast"/>
            </w:pPr>
            <w:r>
              <w:rPr>
                <w:szCs w:val="22"/>
              </w:rPr>
              <w:t>Additional clarification</w:t>
            </w:r>
            <w:r w:rsidR="00152797">
              <w:rPr>
                <w:szCs w:val="22"/>
              </w:rPr>
              <w:t>s</w:t>
            </w:r>
            <w:r>
              <w:rPr>
                <w:szCs w:val="22"/>
              </w:rPr>
              <w:t xml:space="preserve"> on financing not linked to costs</w:t>
            </w:r>
          </w:p>
        </w:tc>
      </w:tr>
    </w:tbl>
    <w:p w14:paraId="6ACEBDCB" w14:textId="77777777" w:rsidR="001D7ABB" w:rsidRPr="001D7ABB" w:rsidRDefault="001D7ABB" w:rsidP="001417D6">
      <w:pPr>
        <w:spacing w:before="480" w:after="120" w:line="240" w:lineRule="atLeast"/>
        <w:rPr>
          <w:b/>
          <w:smallCaps/>
          <w:szCs w:val="22"/>
        </w:rPr>
      </w:pPr>
      <w:bookmarkStart w:id="114" w:name="_Hlk163811061"/>
      <w:bookmarkStart w:id="115" w:name="_Toc216513984"/>
      <w:bookmarkEnd w:id="112"/>
      <w:bookmarkEnd w:id="113"/>
      <w:r>
        <w:rPr>
          <w:b/>
          <w:smallCaps/>
          <w:szCs w:val="22"/>
        </w:rPr>
        <w:t>Useful links</w:t>
      </w:r>
    </w:p>
    <w:tbl>
      <w:tblPr>
        <w:tblW w:w="0" w:type="auto"/>
        <w:tblInd w:w="108" w:type="dxa"/>
        <w:tblLook w:val="04A0" w:firstRow="1" w:lastRow="0" w:firstColumn="1" w:lastColumn="0" w:noHBand="0" w:noVBand="1"/>
      </w:tblPr>
      <w:tblGrid>
        <w:gridCol w:w="3300"/>
        <w:gridCol w:w="6230"/>
      </w:tblGrid>
      <w:tr w:rsidR="001D7ABB" w14:paraId="5814F12D" w14:textId="77777777">
        <w:tc>
          <w:tcPr>
            <w:tcW w:w="3516" w:type="dxa"/>
            <w:shd w:val="clear" w:color="auto" w:fill="auto"/>
          </w:tcPr>
          <w:p w14:paraId="185409A3" w14:textId="77777777" w:rsidR="001D7ABB" w:rsidRPr="001417D6" w:rsidRDefault="001D7ABB">
            <w:pPr>
              <w:spacing w:after="120" w:line="240" w:lineRule="atLeast"/>
              <w:jc w:val="left"/>
            </w:pPr>
            <w:bookmarkStart w:id="116" w:name="_Hlk163811051"/>
            <w:bookmarkEnd w:id="114"/>
            <w:r w:rsidRPr="001417D6">
              <w:t>PRAG</w:t>
            </w:r>
          </w:p>
        </w:tc>
        <w:tc>
          <w:tcPr>
            <w:tcW w:w="6230" w:type="dxa"/>
            <w:shd w:val="clear" w:color="auto" w:fill="auto"/>
          </w:tcPr>
          <w:p w14:paraId="6B02737A" w14:textId="77777777" w:rsidR="001D7ABB" w:rsidRDefault="007340C5">
            <w:pPr>
              <w:spacing w:after="120" w:line="240" w:lineRule="atLeast"/>
            </w:pPr>
            <w:hyperlink r:id="rId43" w:history="1">
              <w:r w:rsidR="001D7ABB" w:rsidRPr="00556E3A">
                <w:rPr>
                  <w:rStyle w:val="Hyperlink"/>
                </w:rPr>
                <w:t>https://wikis.ec.europa.eu/display/ExactExternalWiki/ePRAG</w:t>
              </w:r>
            </w:hyperlink>
          </w:p>
        </w:tc>
      </w:tr>
      <w:tr w:rsidR="001D7ABB" w14:paraId="3AFB2AE1" w14:textId="77777777">
        <w:tc>
          <w:tcPr>
            <w:tcW w:w="3516" w:type="dxa"/>
            <w:shd w:val="clear" w:color="auto" w:fill="auto"/>
          </w:tcPr>
          <w:p w14:paraId="36752DE1" w14:textId="77777777" w:rsidR="001D7ABB" w:rsidRDefault="001D7ABB">
            <w:pPr>
              <w:spacing w:after="120" w:line="240" w:lineRule="atLeast"/>
              <w:jc w:val="left"/>
              <w:rPr>
                <w:szCs w:val="22"/>
              </w:rPr>
            </w:pPr>
            <w:r>
              <w:rPr>
                <w:szCs w:val="22"/>
              </w:rPr>
              <w:t>Project Cycle Management Guidelines</w:t>
            </w:r>
          </w:p>
        </w:tc>
        <w:tc>
          <w:tcPr>
            <w:tcW w:w="6230" w:type="dxa"/>
            <w:shd w:val="clear" w:color="auto" w:fill="auto"/>
          </w:tcPr>
          <w:p w14:paraId="486DE51B" w14:textId="77777777" w:rsidR="001D7ABB" w:rsidRDefault="007340C5">
            <w:pPr>
              <w:spacing w:after="120" w:line="240" w:lineRule="atLeast"/>
            </w:pPr>
            <w:hyperlink r:id="rId44" w:history="1">
              <w:r w:rsidR="001D7ABB" w:rsidRPr="00BA6979">
                <w:rPr>
                  <w:rStyle w:val="Hyperlink"/>
                </w:rPr>
                <w:t>https://ec.europa.eu/international-partnerships/funding/managing-project_en</w:t>
              </w:r>
            </w:hyperlink>
          </w:p>
        </w:tc>
      </w:tr>
      <w:tr w:rsidR="001D7ABB" w14:paraId="1414F398" w14:textId="77777777">
        <w:tc>
          <w:tcPr>
            <w:tcW w:w="3516" w:type="dxa"/>
            <w:shd w:val="clear" w:color="auto" w:fill="auto"/>
          </w:tcPr>
          <w:p w14:paraId="50A8CD0F" w14:textId="77777777" w:rsidR="001D7ABB" w:rsidRPr="001417D6" w:rsidRDefault="001D7ABB">
            <w:pPr>
              <w:spacing w:after="120" w:line="240" w:lineRule="atLeast"/>
              <w:jc w:val="left"/>
            </w:pPr>
            <w:r>
              <w:rPr>
                <w:szCs w:val="22"/>
              </w:rPr>
              <w:t>The implementation of grant contracts, A Users' Guide</w:t>
            </w:r>
            <w:r w:rsidRPr="001417D6">
              <w:t xml:space="preserve"> </w:t>
            </w:r>
          </w:p>
        </w:tc>
        <w:tc>
          <w:tcPr>
            <w:tcW w:w="6230" w:type="dxa"/>
            <w:shd w:val="clear" w:color="auto" w:fill="auto"/>
          </w:tcPr>
          <w:p w14:paraId="76CF91B0" w14:textId="77777777" w:rsidR="001D7ABB" w:rsidRDefault="007340C5">
            <w:pPr>
              <w:spacing w:after="120" w:line="240" w:lineRule="atLeast"/>
            </w:pPr>
            <w:hyperlink r:id="rId45" w:history="1">
              <w:r w:rsidR="001D7ABB" w:rsidRPr="001A5A22">
                <w:rPr>
                  <w:rStyle w:val="Hyperlink"/>
                </w:rPr>
                <w:t>https://wikis.ec.europa.eu/pages/viewpage.action?pageId=48169235</w:t>
              </w:r>
            </w:hyperlink>
            <w:r w:rsidR="001D7ABB">
              <w:t xml:space="preserve"> </w:t>
            </w:r>
          </w:p>
        </w:tc>
      </w:tr>
      <w:tr w:rsidR="001D7ABB" w14:paraId="296C9BF2" w14:textId="77777777">
        <w:tc>
          <w:tcPr>
            <w:tcW w:w="3516" w:type="dxa"/>
            <w:shd w:val="clear" w:color="auto" w:fill="auto"/>
          </w:tcPr>
          <w:p w14:paraId="02D1BC01" w14:textId="77777777" w:rsidR="001D7ABB" w:rsidRPr="001417D6" w:rsidRDefault="001D7ABB">
            <w:pPr>
              <w:spacing w:after="120" w:line="240" w:lineRule="atLeast"/>
              <w:jc w:val="left"/>
            </w:pPr>
            <w:proofErr w:type="spellStart"/>
            <w:r>
              <w:rPr>
                <w:szCs w:val="22"/>
                <w:lang w:val="es-ES"/>
              </w:rPr>
              <w:t>Financial</w:t>
            </w:r>
            <w:proofErr w:type="spellEnd"/>
            <w:r>
              <w:rPr>
                <w:szCs w:val="22"/>
                <w:lang w:val="es-ES"/>
              </w:rPr>
              <w:t xml:space="preserve"> </w:t>
            </w:r>
            <w:proofErr w:type="spellStart"/>
            <w:r>
              <w:rPr>
                <w:szCs w:val="22"/>
                <w:lang w:val="es-ES"/>
              </w:rPr>
              <w:t>Toolkit</w:t>
            </w:r>
            <w:proofErr w:type="spellEnd"/>
            <w:r>
              <w:rPr>
                <w:rStyle w:val="Funotenzeichen"/>
                <w:szCs w:val="22"/>
                <w:lang w:val="es-ES"/>
              </w:rPr>
              <w:footnoteReference w:id="25"/>
            </w:r>
          </w:p>
        </w:tc>
        <w:tc>
          <w:tcPr>
            <w:tcW w:w="6230" w:type="dxa"/>
            <w:shd w:val="clear" w:color="auto" w:fill="auto"/>
          </w:tcPr>
          <w:p w14:paraId="4326252A" w14:textId="77777777" w:rsidR="001D7ABB" w:rsidRPr="001D7ABB" w:rsidRDefault="007340C5">
            <w:pPr>
              <w:spacing w:after="120" w:line="240" w:lineRule="atLeast"/>
            </w:pPr>
            <w:hyperlink r:id="rId46" w:history="1">
              <w:r w:rsidR="001D7ABB" w:rsidRPr="001A5A22">
                <w:rPr>
                  <w:rStyle w:val="Hyperlink"/>
                </w:rPr>
                <w:t>https://ec.europa.eu/international-partnerships/financial-management-toolkit_en</w:t>
              </w:r>
            </w:hyperlink>
          </w:p>
        </w:tc>
      </w:tr>
      <w:tr w:rsidR="001D7ABB" w14:paraId="1CDC1E57" w14:textId="77777777">
        <w:tc>
          <w:tcPr>
            <w:tcW w:w="3516" w:type="dxa"/>
            <w:shd w:val="clear" w:color="auto" w:fill="auto"/>
          </w:tcPr>
          <w:p w14:paraId="46A75BAB" w14:textId="77777777" w:rsidR="001D7ABB" w:rsidRDefault="001D7ABB">
            <w:pPr>
              <w:spacing w:after="120" w:line="240" w:lineRule="atLeast"/>
              <w:jc w:val="left"/>
              <w:rPr>
                <w:lang w:val="en-IE"/>
              </w:rPr>
            </w:pPr>
            <w:r>
              <w:rPr>
                <w:lang w:val="en-IE"/>
              </w:rPr>
              <w:t>Early Detection and Exclusion System (EDES)</w:t>
            </w:r>
          </w:p>
        </w:tc>
        <w:tc>
          <w:tcPr>
            <w:tcW w:w="6230" w:type="dxa"/>
            <w:shd w:val="clear" w:color="auto" w:fill="auto"/>
          </w:tcPr>
          <w:p w14:paraId="1D749746" w14:textId="77777777" w:rsidR="001D7ABB" w:rsidRDefault="007340C5">
            <w:pPr>
              <w:spacing w:after="120" w:line="240" w:lineRule="atLeast"/>
            </w:pPr>
            <w:hyperlink r:id="rId47" w:anchor="data-protection" w:history="1">
              <w:r w:rsidR="001D7ABB" w:rsidRPr="001A5A22">
                <w:rPr>
                  <w:rStyle w:val="Hyperlink"/>
                </w:rPr>
                <w:t>https://commission.europa.eu/strategy-and-policy/eu-budget/how-it-works/annual-lifecycle/implementation/anti-fraud-measures/edes_en#data-protection</w:t>
              </w:r>
            </w:hyperlink>
          </w:p>
        </w:tc>
      </w:tr>
      <w:bookmarkEnd w:id="115"/>
      <w:bookmarkEnd w:id="116"/>
    </w:tbl>
    <w:p w14:paraId="4384B524" w14:textId="77777777" w:rsidR="00993186" w:rsidRPr="001B7D50" w:rsidRDefault="00993186" w:rsidP="001B7D50">
      <w:pPr>
        <w:spacing w:after="120" w:line="240" w:lineRule="atLeast"/>
        <w:rPr>
          <w:szCs w:val="22"/>
          <w:highlight w:val="magenta"/>
          <w:lang w:val="en-IE"/>
        </w:rPr>
      </w:pPr>
    </w:p>
    <w:sectPr w:rsidR="00993186" w:rsidRPr="001B7D50" w:rsidSect="002D4ACD">
      <w:pgSz w:w="11906" w:h="16838" w:code="9"/>
      <w:pgMar w:top="1021" w:right="1134" w:bottom="1021" w:left="1134" w:header="567" w:footer="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6B76" w14:textId="77777777" w:rsidR="007340C5" w:rsidRDefault="007340C5">
      <w:r>
        <w:separator/>
      </w:r>
    </w:p>
    <w:p w14:paraId="16DD653D" w14:textId="77777777" w:rsidR="007340C5" w:rsidRDefault="007340C5"/>
  </w:endnote>
  <w:endnote w:type="continuationSeparator" w:id="0">
    <w:p w14:paraId="7132F498" w14:textId="77777777" w:rsidR="007340C5" w:rsidRDefault="007340C5">
      <w:r>
        <w:continuationSeparator/>
      </w:r>
    </w:p>
    <w:p w14:paraId="4ADE5372" w14:textId="77777777" w:rsidR="007340C5" w:rsidRDefault="00734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0888" w14:textId="5E26677E" w:rsidR="005507C7" w:rsidRPr="009A7E42" w:rsidRDefault="005507C7" w:rsidP="00DF6F65">
    <w:pPr>
      <w:pStyle w:val="Fuzeile"/>
      <w:tabs>
        <w:tab w:val="right" w:pos="9639"/>
      </w:tabs>
      <w:spacing w:after="0"/>
      <w:rPr>
        <w:rFonts w:ascii="Times New Roman" w:hAnsi="Times New Roman"/>
        <w:b/>
        <w:sz w:val="18"/>
        <w:szCs w:val="18"/>
      </w:rPr>
    </w:pPr>
    <w:r w:rsidRPr="009A7E42">
      <w:rPr>
        <w:rFonts w:ascii="Times New Roman" w:hAnsi="Times New Roman"/>
        <w:b/>
        <w:sz w:val="18"/>
        <w:szCs w:val="18"/>
      </w:rPr>
      <w:t>EuropeAid/</w:t>
    </w:r>
    <w:r>
      <w:rPr>
        <w:rFonts w:ascii="Times New Roman" w:hAnsi="Times New Roman"/>
        <w:b/>
        <w:noProof/>
        <w:sz w:val="18"/>
        <w:szCs w:val="18"/>
      </w:rPr>
      <w:t>183610</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Multi</w:t>
    </w:r>
    <w:r w:rsidRPr="009A7E42">
      <w:rPr>
        <w:rFonts w:ascii="Times New Roman" w:hAnsi="Times New Roman"/>
        <w:b/>
        <w:sz w:val="18"/>
        <w:szCs w:val="18"/>
      </w:rPr>
      <w:tab/>
    </w:r>
    <w:r w:rsidRPr="009A7E42">
      <w:rPr>
        <w:rFonts w:ascii="Times New Roman" w:hAnsi="Times New Roman"/>
        <w:sz w:val="18"/>
        <w:szCs w:val="18"/>
      </w:rPr>
      <w:t xml:space="preserve">Page </w:t>
    </w:r>
    <w:r w:rsidRPr="009A7E42">
      <w:rPr>
        <w:rFonts w:ascii="Times New Roman" w:hAnsi="Times New Roman"/>
        <w:sz w:val="18"/>
        <w:szCs w:val="18"/>
      </w:rPr>
      <w:fldChar w:fldCharType="begin"/>
    </w:r>
    <w:r w:rsidRPr="009A7E42">
      <w:rPr>
        <w:rFonts w:ascii="Times New Roman" w:hAnsi="Times New Roman"/>
        <w:sz w:val="18"/>
        <w:szCs w:val="18"/>
      </w:rPr>
      <w:instrText xml:space="preserve"> PAGE   \* MERGEFORMAT </w:instrText>
    </w:r>
    <w:r w:rsidRPr="009A7E42">
      <w:rPr>
        <w:rFonts w:ascii="Times New Roman" w:hAnsi="Times New Roman"/>
        <w:sz w:val="18"/>
        <w:szCs w:val="18"/>
      </w:rPr>
      <w:fldChar w:fldCharType="separate"/>
    </w:r>
    <w:r w:rsidR="00A3671A">
      <w:rPr>
        <w:rFonts w:ascii="Times New Roman" w:hAnsi="Times New Roman"/>
        <w:noProof/>
        <w:sz w:val="18"/>
        <w:szCs w:val="18"/>
      </w:rPr>
      <w:t>29</w:t>
    </w:r>
    <w:r w:rsidRPr="009A7E42">
      <w:rPr>
        <w:rFonts w:ascii="Times New Roman" w:hAnsi="Times New Roman"/>
        <w:sz w:val="18"/>
        <w:szCs w:val="18"/>
      </w:rPr>
      <w:fldChar w:fldCharType="end"/>
    </w:r>
    <w:r w:rsidRPr="009A7E42">
      <w:rPr>
        <w:rFonts w:ascii="Times New Roman" w:hAnsi="Times New Roman"/>
        <w:sz w:val="18"/>
        <w:szCs w:val="18"/>
      </w:rPr>
      <w:t xml:space="preserve"> of </w:t>
    </w:r>
    <w:r w:rsidRPr="009A7E42">
      <w:rPr>
        <w:rFonts w:ascii="Times New Roman" w:hAnsi="Times New Roman"/>
        <w:sz w:val="18"/>
        <w:szCs w:val="18"/>
      </w:rPr>
      <w:fldChar w:fldCharType="begin"/>
    </w:r>
    <w:r w:rsidRPr="009A7E42">
      <w:rPr>
        <w:rFonts w:ascii="Times New Roman" w:hAnsi="Times New Roman"/>
        <w:sz w:val="18"/>
        <w:szCs w:val="18"/>
      </w:rPr>
      <w:instrText xml:space="preserve"> NUMPAGES   \* MERGEFORMAT </w:instrText>
    </w:r>
    <w:r w:rsidRPr="009A7E42">
      <w:rPr>
        <w:rFonts w:ascii="Times New Roman" w:hAnsi="Times New Roman"/>
        <w:sz w:val="18"/>
        <w:szCs w:val="18"/>
      </w:rPr>
      <w:fldChar w:fldCharType="separate"/>
    </w:r>
    <w:r w:rsidR="00A3671A">
      <w:rPr>
        <w:rFonts w:ascii="Times New Roman" w:hAnsi="Times New Roman"/>
        <w:noProof/>
        <w:sz w:val="18"/>
        <w:szCs w:val="18"/>
      </w:rPr>
      <w:t>29</w:t>
    </w:r>
    <w:r w:rsidRPr="009A7E42">
      <w:rPr>
        <w:rFonts w:ascii="Times New Roman" w:hAnsi="Times New Roman"/>
        <w:sz w:val="18"/>
        <w:szCs w:val="18"/>
      </w:rPr>
      <w:fldChar w:fldCharType="end"/>
    </w:r>
  </w:p>
  <w:p w14:paraId="65C53A06" w14:textId="77777777" w:rsidR="005507C7" w:rsidRPr="00F9346C" w:rsidRDefault="005507C7" w:rsidP="00DF6F65">
    <w:pPr>
      <w:pStyle w:val="Fuzeile"/>
      <w:tabs>
        <w:tab w:val="right" w:pos="9639"/>
      </w:tabs>
      <w:spacing w:after="0"/>
      <w:rPr>
        <w:rFonts w:ascii="Times New Roman" w:hAnsi="Times New Roman"/>
        <w:sz w:val="18"/>
        <w:szCs w:val="18"/>
      </w:rPr>
    </w:pPr>
    <w:r>
      <w:rPr>
        <w:rFonts w:ascii="Times New Roman" w:hAnsi="Times New Roman"/>
        <w:b/>
        <w:sz w:val="18"/>
        <w:szCs w:val="18"/>
      </w:rPr>
      <w:t xml:space="preserve">2025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 (en).rtf</w:t>
    </w:r>
    <w:r w:rsidRPr="00946B25">
      <w:rPr>
        <w:rFonts w:ascii="Times New Roman" w:hAnsi="Times New Roman"/>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2E4E" w14:textId="77777777" w:rsidR="005507C7" w:rsidRPr="009A7E42" w:rsidRDefault="005507C7" w:rsidP="00DF6F65">
    <w:pPr>
      <w:pStyle w:val="Fuzeile"/>
      <w:tabs>
        <w:tab w:val="right" w:pos="9639"/>
      </w:tabs>
      <w:spacing w:after="0"/>
      <w:rPr>
        <w:rFonts w:ascii="Times New Roman" w:hAnsi="Times New Roman"/>
        <w:b/>
        <w:sz w:val="18"/>
        <w:szCs w:val="18"/>
      </w:rPr>
    </w:pPr>
    <w:r w:rsidRPr="009A7E42">
      <w:rPr>
        <w:rFonts w:ascii="Times New Roman" w:hAnsi="Times New Roman"/>
        <w:b/>
        <w:sz w:val="18"/>
        <w:szCs w:val="18"/>
      </w:rPr>
      <w:t>EuropeAid/</w:t>
    </w:r>
    <w:r>
      <w:rPr>
        <w:rFonts w:ascii="Times New Roman" w:hAnsi="Times New Roman"/>
        <w:b/>
        <w:noProof/>
        <w:sz w:val="18"/>
        <w:szCs w:val="18"/>
      </w:rPr>
      <w:t>183610</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Multi</w:t>
    </w:r>
  </w:p>
  <w:p w14:paraId="48014DE3" w14:textId="77777777" w:rsidR="005507C7" w:rsidRPr="00F9346C" w:rsidRDefault="005507C7" w:rsidP="00DF6F65">
    <w:pPr>
      <w:pStyle w:val="Fuzeile"/>
      <w:tabs>
        <w:tab w:val="right" w:pos="9639"/>
      </w:tabs>
      <w:spacing w:after="0"/>
      <w:rPr>
        <w:rFonts w:ascii="Times New Roman" w:hAnsi="Times New Roman"/>
        <w:sz w:val="18"/>
        <w:szCs w:val="18"/>
      </w:rPr>
    </w:pPr>
    <w:r>
      <w:rPr>
        <w:rFonts w:ascii="Times New Roman" w:hAnsi="Times New Roman"/>
        <w:b/>
        <w:sz w:val="18"/>
        <w:szCs w:val="18"/>
      </w:rPr>
      <w:t xml:space="preserve">2025 </w:t>
    </w:r>
    <w:r w:rsidRPr="00946B25">
      <w:rPr>
        <w:rFonts w:ascii="Times New Roman" w:hAnsi="Times New Roman"/>
        <w:bCs/>
        <w:sz w:val="18"/>
        <w:szCs w:val="18"/>
      </w:rPr>
      <w:fldChar w:fldCharType="begin"/>
    </w:r>
    <w:r w:rsidRPr="00946B25">
      <w:rPr>
        <w:rFonts w:ascii="Times New Roman" w:hAnsi="Times New Roman"/>
        <w:bCs/>
        <w:sz w:val="18"/>
        <w:szCs w:val="18"/>
      </w:rPr>
      <w:instrText xml:space="preserve"> FILENAME </w:instrText>
    </w:r>
    <w:r w:rsidRPr="00946B25">
      <w:rPr>
        <w:rFonts w:ascii="Times New Roman" w:hAnsi="Times New Roman"/>
        <w:bCs/>
        <w:sz w:val="18"/>
        <w:szCs w:val="18"/>
      </w:rPr>
      <w:fldChar w:fldCharType="separate"/>
    </w:r>
    <w:r>
      <w:rPr>
        <w:rFonts w:ascii="Times New Roman" w:hAnsi="Times New Roman"/>
        <w:bCs/>
        <w:noProof/>
        <w:sz w:val="18"/>
        <w:szCs w:val="18"/>
      </w:rPr>
      <w:t>Guidelines for grant applicant restricted (en).rtf</w:t>
    </w:r>
    <w:r w:rsidRPr="00946B25">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DB32" w14:textId="1F5CFE7D" w:rsidR="005507C7" w:rsidRDefault="005507C7" w:rsidP="00491F8A">
    <w:pPr>
      <w:pStyle w:val="Fuzeile"/>
      <w:tabs>
        <w:tab w:val="right" w:pos="9639"/>
      </w:tabs>
      <w:spacing w:after="0"/>
      <w:rPr>
        <w:rFonts w:ascii="Times New Roman" w:hAnsi="Times New Roman"/>
        <w:sz w:val="18"/>
        <w:szCs w:val="18"/>
      </w:rPr>
    </w:pPr>
    <w:r w:rsidRPr="009A7E42">
      <w:rPr>
        <w:rFonts w:ascii="Times New Roman" w:hAnsi="Times New Roman"/>
        <w:b/>
        <w:sz w:val="18"/>
        <w:szCs w:val="18"/>
      </w:rPr>
      <w:t>EuropeAid/</w:t>
    </w:r>
    <w:r>
      <w:rPr>
        <w:rFonts w:ascii="Times New Roman" w:hAnsi="Times New Roman"/>
        <w:b/>
        <w:noProof/>
        <w:sz w:val="18"/>
        <w:szCs w:val="18"/>
      </w:rPr>
      <w:t>183610</w:t>
    </w:r>
    <w:r w:rsidRPr="009A7E42">
      <w:rPr>
        <w:rFonts w:ascii="Times New Roman" w:hAnsi="Times New Roman"/>
        <w:b/>
        <w:sz w:val="18"/>
        <w:szCs w:val="18"/>
      </w:rPr>
      <w:t>/</w:t>
    </w:r>
    <w:r>
      <w:rPr>
        <w:rFonts w:ascii="Times New Roman" w:hAnsi="Times New Roman"/>
        <w:b/>
        <w:noProof/>
        <w:sz w:val="18"/>
        <w:szCs w:val="18"/>
      </w:rPr>
      <w:t>DD</w:t>
    </w:r>
    <w:r w:rsidRPr="009A7E42">
      <w:rPr>
        <w:rFonts w:ascii="Times New Roman" w:hAnsi="Times New Roman"/>
        <w:b/>
        <w:sz w:val="18"/>
        <w:szCs w:val="18"/>
      </w:rPr>
      <w:t>/</w:t>
    </w:r>
    <w:r>
      <w:rPr>
        <w:rFonts w:ascii="Times New Roman" w:hAnsi="Times New Roman"/>
        <w:b/>
        <w:noProof/>
        <w:sz w:val="18"/>
        <w:szCs w:val="18"/>
      </w:rPr>
      <w:t>ACT</w:t>
    </w:r>
    <w:r w:rsidRPr="009A7E42">
      <w:rPr>
        <w:rFonts w:ascii="Times New Roman" w:hAnsi="Times New Roman"/>
        <w:b/>
        <w:sz w:val="18"/>
        <w:szCs w:val="18"/>
      </w:rPr>
      <w:t>/</w:t>
    </w:r>
    <w:r>
      <w:rPr>
        <w:rFonts w:ascii="Times New Roman" w:hAnsi="Times New Roman"/>
        <w:b/>
        <w:noProof/>
        <w:sz w:val="18"/>
        <w:szCs w:val="18"/>
      </w:rPr>
      <w:t>Multi</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B522D3">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B522D3">
      <w:rPr>
        <w:rFonts w:ascii="Times New Roman" w:hAnsi="Times New Roman"/>
        <w:noProof/>
        <w:sz w:val="18"/>
        <w:szCs w:val="18"/>
      </w:rPr>
      <w:t>29</w:t>
    </w:r>
    <w:r>
      <w:rPr>
        <w:rFonts w:ascii="Times New Roman" w:hAnsi="Times New Roman"/>
        <w:sz w:val="18"/>
        <w:szCs w:val="18"/>
      </w:rPr>
      <w:fldChar w:fldCharType="end"/>
    </w:r>
  </w:p>
  <w:p w14:paraId="14FAF997" w14:textId="77777777" w:rsidR="005507C7" w:rsidRPr="00491F8A" w:rsidRDefault="005507C7" w:rsidP="00491F8A">
    <w:pPr>
      <w:pStyle w:val="Fuzeile"/>
      <w:tabs>
        <w:tab w:val="right" w:pos="9639"/>
      </w:tabs>
      <w:spacing w:after="0"/>
      <w:rPr>
        <w:rFonts w:ascii="Times New Roman" w:hAnsi="Times New Roman"/>
        <w:sz w:val="18"/>
        <w:szCs w:val="18"/>
      </w:rPr>
    </w:pPr>
    <w:r>
      <w:rPr>
        <w:rFonts w:ascii="Times New Roman" w:hAnsi="Times New Roman"/>
        <w:b/>
        <w:sz w:val="18"/>
        <w:szCs w:val="18"/>
      </w:rPr>
      <w:t xml:space="preserve">2025 </w:t>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Guidelines for grant applicant restricted (en).rtf</w:t>
    </w:r>
    <w:r w:rsidRPr="00946B25">
      <w:rPr>
        <w:rFonts w:ascii="Times New Roman" w:hAnsi="Times New Roman"/>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6E35" w14:textId="77777777" w:rsidR="007340C5" w:rsidRDefault="007340C5" w:rsidP="00F53E16">
      <w:pPr>
        <w:spacing w:before="120" w:after="0"/>
      </w:pPr>
      <w:r>
        <w:separator/>
      </w:r>
    </w:p>
  </w:footnote>
  <w:footnote w:type="continuationSeparator" w:id="0">
    <w:p w14:paraId="246F306E" w14:textId="77777777" w:rsidR="007340C5" w:rsidRDefault="007340C5">
      <w:r>
        <w:continuationSeparator/>
      </w:r>
    </w:p>
  </w:footnote>
  <w:footnote w:type="continuationNotice" w:id="1">
    <w:p w14:paraId="4D59E73E" w14:textId="77777777" w:rsidR="007340C5" w:rsidRPr="004D357E" w:rsidRDefault="007340C5" w:rsidP="004D357E">
      <w:pPr>
        <w:pStyle w:val="Fuzeile"/>
      </w:pPr>
    </w:p>
  </w:footnote>
  <w:footnote w:id="2">
    <w:p w14:paraId="674D38FB" w14:textId="77777777" w:rsidR="005507C7" w:rsidRDefault="005507C7" w:rsidP="001417D6">
      <w:pPr>
        <w:pStyle w:val="Funotentext"/>
      </w:pPr>
      <w:r w:rsidRPr="001417D6">
        <w:rPr>
          <w:rStyle w:val="Funotenzeichen"/>
          <w:sz w:val="20"/>
        </w:rPr>
        <w:footnoteRef/>
      </w:r>
      <w:r w:rsidRPr="001417D6">
        <w:tab/>
        <w:t>Online submission via PROSPECT is mandatory for this call for proposals (see Section 2.2.2). In PROSPECT all dates and times are expressed in Brussels time. Applicants should note that the IT support is open Monday to Friday from 08:30 to 18:30 Brussels time (except during European Commission public holidays in Belgium as published in the Official Journal). Applicants should take note of the weekly maintenance hours mentioned in the PROSPECT user manual.</w:t>
      </w:r>
    </w:p>
  </w:footnote>
  <w:footnote w:id="3">
    <w:p w14:paraId="188FD0E6" w14:textId="77777777" w:rsidR="005507C7" w:rsidRDefault="005507C7" w:rsidP="001417D6">
      <w:pPr>
        <w:pStyle w:val="Funotentext"/>
      </w:pPr>
      <w:r w:rsidRPr="001417D6">
        <w:rPr>
          <w:rStyle w:val="Funotenzeichen"/>
          <w:sz w:val="20"/>
        </w:rPr>
        <w:footnoteRef/>
      </w:r>
      <w:r w:rsidRPr="001417D6">
        <w:tab/>
        <w:t xml:space="preserve">An example of a </w:t>
      </w:r>
      <w:r w:rsidRPr="001417D6">
        <w:rPr>
          <w:lang w:val="en-US"/>
        </w:rPr>
        <w:t xml:space="preserve">time converter tool available online: </w:t>
      </w:r>
      <w:hyperlink r:id="rId1" w:history="1">
        <w:r w:rsidRPr="001417D6">
          <w:rPr>
            <w:rStyle w:val="Hyperlink"/>
            <w:lang w:val="en-US"/>
          </w:rPr>
          <w:t>http://www.timeanddate.com/worldclock/converter.html</w:t>
        </w:r>
      </w:hyperlink>
    </w:p>
  </w:footnote>
  <w:footnote w:id="4">
    <w:p w14:paraId="604DC79E" w14:textId="77777777" w:rsidR="005507C7" w:rsidRDefault="005507C7" w:rsidP="001417D6">
      <w:pPr>
        <w:pStyle w:val="Funotentext"/>
      </w:pPr>
      <w:r w:rsidRPr="008F411B">
        <w:rPr>
          <w:rStyle w:val="Funotenzeichen"/>
          <w:sz w:val="20"/>
        </w:rPr>
        <w:footnoteRef/>
      </w:r>
      <w:r w:rsidRPr="008F411B">
        <w:tab/>
        <w:t xml:space="preserve">If PROSPECT is unavailable, the IT support can also be reached via email: </w:t>
      </w:r>
      <w:hyperlink r:id="rId2" w:history="1">
        <w:r w:rsidRPr="008F411B">
          <w:rPr>
            <w:rStyle w:val="Hyperlink"/>
            <w:lang w:val="en-IE"/>
          </w:rPr>
          <w:t>ec-external-relations-application-support@ec.europa.eu</w:t>
        </w:r>
      </w:hyperlink>
      <w:r w:rsidRPr="008F411B">
        <w:t>.</w:t>
      </w:r>
      <w:hyperlink r:id="rId3" w:history="1"/>
    </w:p>
  </w:footnote>
  <w:footnote w:id="5">
    <w:p w14:paraId="22EFDDDA" w14:textId="77777777" w:rsidR="005507C7" w:rsidRDefault="005507C7" w:rsidP="006A5287">
      <w:pPr>
        <w:pStyle w:val="Funotentext"/>
      </w:pPr>
      <w:r w:rsidRPr="006C08A7">
        <w:rPr>
          <w:rStyle w:val="Funotenzeichen"/>
          <w:sz w:val="20"/>
        </w:rPr>
        <w:footnoteRef/>
      </w:r>
      <w:hyperlink r:id="rId4" w:history="1">
        <w:r w:rsidRPr="006C08A7">
          <w:rPr>
            <w:rStyle w:val="Hyperlink"/>
          </w:rPr>
          <w:t>https://www.eeas.europa.eu/sites/default/files/jswd_structured_consultation_on_the_future_of_the_eastern_partnership.pdf</w:t>
        </w:r>
      </w:hyperlink>
      <w:r w:rsidRPr="006C08A7">
        <w:t xml:space="preserve"> </w:t>
      </w:r>
    </w:p>
  </w:footnote>
  <w:footnote w:id="6">
    <w:p w14:paraId="671ECBC9" w14:textId="77777777" w:rsidR="005507C7" w:rsidRDefault="005507C7" w:rsidP="006A5287">
      <w:pPr>
        <w:pStyle w:val="Funotentext"/>
      </w:pPr>
      <w:r w:rsidRPr="006C08A7">
        <w:rPr>
          <w:rStyle w:val="Funotenzeichen"/>
          <w:sz w:val="20"/>
        </w:rPr>
        <w:footnoteRef/>
      </w:r>
      <w:hyperlink r:id="rId5" w:history="1">
        <w:r w:rsidRPr="006C08A7">
          <w:rPr>
            <w:rStyle w:val="Hyperlink"/>
          </w:rPr>
          <w:t>https://www.eeas.europa.eu/sites/default/files/swd_2021_186_f1_joint_staff_working_paper_en_v2_p1_1356457_0.pdf</w:t>
        </w:r>
      </w:hyperlink>
      <w:r>
        <w:t xml:space="preserve"> </w:t>
      </w:r>
    </w:p>
  </w:footnote>
  <w:footnote w:id="7">
    <w:p w14:paraId="237CC4D3" w14:textId="77777777" w:rsidR="005507C7" w:rsidRDefault="005507C7" w:rsidP="001417D6">
      <w:pPr>
        <w:pStyle w:val="Funotentext"/>
      </w:pPr>
      <w:r w:rsidRPr="008F411B">
        <w:rPr>
          <w:vertAlign w:val="superscript"/>
        </w:rPr>
        <w:footnoteRef/>
      </w:r>
      <w:r>
        <w:tab/>
      </w:r>
      <w:r w:rsidRPr="008F411B">
        <w:t>Where a grant is financed by the European Development Fund, any mention of European Union financing must be understood as referring to European Development Fund financing.</w:t>
      </w:r>
    </w:p>
  </w:footnote>
  <w:footnote w:id="8">
    <w:p w14:paraId="04978E39" w14:textId="77777777" w:rsidR="005507C7" w:rsidRDefault="005507C7" w:rsidP="001417D6">
      <w:pPr>
        <w:pStyle w:val="Funotentext"/>
      </w:pPr>
      <w:r w:rsidRPr="008F411B">
        <w:rPr>
          <w:rStyle w:val="Funotenzeichen"/>
          <w:sz w:val="20"/>
        </w:rPr>
        <w:footnoteRef/>
      </w:r>
      <w:r>
        <w:tab/>
      </w:r>
      <w:r w:rsidRPr="008F411B">
        <w:t>Note that a lead applicant (</w:t>
      </w:r>
      <w:proofErr w:type="gramStart"/>
      <w:r w:rsidRPr="008F411B">
        <w:t>i.e.</w:t>
      </w:r>
      <w:proofErr w:type="gramEnd"/>
      <w:r w:rsidRPr="008F411B">
        <w:t xml:space="preserve"> a coordinator) whose pillars have been positively assessed by the European Commission and who is awarded a grant will not sign the standard grant contract published with these guidelines but a contribution agreement based on the contribution agreement template. All references in these guidelines and other documents related to this call to the standard grant contract shall in this case be understood as referring to the relevant provisions of the contribution agreement template.</w:t>
      </w:r>
    </w:p>
  </w:footnote>
  <w:footnote w:id="9">
    <w:p w14:paraId="4537E3B1" w14:textId="77777777" w:rsidR="005507C7" w:rsidRDefault="005507C7" w:rsidP="001417D6">
      <w:pPr>
        <w:pStyle w:val="Funotentext"/>
      </w:pPr>
      <w:r w:rsidRPr="008F411B">
        <w:rPr>
          <w:rStyle w:val="Funotenzeichen"/>
          <w:sz w:val="20"/>
        </w:rPr>
        <w:footnoteRef/>
      </w:r>
      <w:r>
        <w:tab/>
      </w:r>
      <w:r w:rsidRPr="008F411B">
        <w:t xml:space="preserve">For the avoidance of doubt, </w:t>
      </w:r>
      <w:r w:rsidRPr="008F411B">
        <w:rPr>
          <w:lang w:val="en-IE"/>
        </w:rPr>
        <w:t>non-governmental organisation means a voluntary, independent from government, non-profit organisation, which is not a political party or a trade union (Article 2(48) FR).</w:t>
      </w:r>
    </w:p>
  </w:footnote>
  <w:footnote w:id="10">
    <w:p w14:paraId="0C26E5FB" w14:textId="77777777" w:rsidR="005507C7" w:rsidRDefault="005507C7" w:rsidP="001417D6">
      <w:pPr>
        <w:pStyle w:val="Funotentext"/>
      </w:pPr>
      <w:r w:rsidRPr="008F411B">
        <w:rPr>
          <w:vertAlign w:val="superscript"/>
        </w:rPr>
        <w:footnoteRef/>
      </w:r>
      <w:r>
        <w:tab/>
      </w:r>
      <w:r w:rsidRPr="008F411B">
        <w:t xml:space="preserve">[International organisations are international public-sector organisations set up by intergovernmental agreements as well as specialised agencies set up by them; the International Committee of the Red Cross (ICRC) and the International Federation of National Red Cross and Red Crescent Societies are also recognised as international organisations. </w:t>
      </w:r>
      <w:bookmarkStart w:id="11" w:name="_Hlk163804937"/>
      <w:r w:rsidRPr="008F411B">
        <w:t>While the European Commission may assimilate other non-profit organisations to international organisations, this is not relevant for this call for proposals. Thus, a non-profit organisation assimilated by the European Commission under Article 159(3) is not regarded as an international organisation under this call for proposals.</w:t>
      </w:r>
      <w:bookmarkEnd w:id="11"/>
      <w:r w:rsidRPr="008F411B">
        <w:t xml:space="preserve">] </w:t>
      </w:r>
    </w:p>
  </w:footnote>
  <w:footnote w:id="11">
    <w:p w14:paraId="4B517825" w14:textId="77777777" w:rsidR="005507C7" w:rsidRDefault="005507C7" w:rsidP="001417D6">
      <w:pPr>
        <w:pStyle w:val="Funotentext"/>
      </w:pPr>
      <w:r w:rsidRPr="008F411B">
        <w:rPr>
          <w:vertAlign w:val="superscript"/>
        </w:rPr>
        <w:footnoteRef/>
      </w:r>
      <w:r>
        <w:tab/>
      </w:r>
      <w:r w:rsidRPr="008F411B">
        <w:t xml:space="preserve">To be determined on the basis of the organisation’s statutes, which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 </w:t>
      </w:r>
    </w:p>
  </w:footnote>
  <w:footnote w:id="12">
    <w:p w14:paraId="0F7AF27E" w14:textId="77777777" w:rsidR="005507C7" w:rsidRDefault="005507C7" w:rsidP="001417D6">
      <w:pPr>
        <w:pStyle w:val="Funotentext"/>
      </w:pPr>
      <w:r w:rsidRPr="008F411B">
        <w:rPr>
          <w:rStyle w:val="Funotenzeichen"/>
          <w:sz w:val="20"/>
        </w:rPr>
        <w:footnoteRef/>
      </w:r>
      <w:r>
        <w:tab/>
      </w:r>
      <w:r w:rsidRPr="008F411B">
        <w:t>With regard to Israeli entities, please follow Guidelines on the eligibility of Israeli entities and their activities in the territories occupied by Israel since June 1967 for grants, prizes and financial instruments funded by the EU from 2014 onwards (OJ C 205, 19.7.2013, p. 9).</w:t>
      </w:r>
    </w:p>
  </w:footnote>
  <w:footnote w:id="13">
    <w:p w14:paraId="7AB59773" w14:textId="77777777" w:rsidR="005507C7" w:rsidRDefault="005507C7" w:rsidP="001417D6">
      <w:pPr>
        <w:pStyle w:val="Funotentext"/>
      </w:pPr>
      <w:r>
        <w:rPr>
          <w:rStyle w:val="Funotenzeichen"/>
        </w:rPr>
        <w:footnoteRef/>
      </w:r>
      <w:r>
        <w:tab/>
      </w:r>
      <w:r w:rsidRPr="0068497F">
        <w:t>Article 29 NDICI</w:t>
      </w:r>
      <w:r>
        <w:t>.</w:t>
      </w:r>
    </w:p>
  </w:footnote>
  <w:footnote w:id="14">
    <w:p w14:paraId="23800227" w14:textId="77777777" w:rsidR="005507C7" w:rsidRDefault="005507C7" w:rsidP="001417D6">
      <w:pPr>
        <w:pStyle w:val="Funotentext"/>
      </w:pPr>
      <w:r w:rsidRPr="001417D6">
        <w:rPr>
          <w:rStyle w:val="Funotenzeichen"/>
          <w:sz w:val="20"/>
        </w:rPr>
        <w:footnoteRef/>
      </w:r>
      <w:r w:rsidRPr="001417D6">
        <w:tab/>
        <w:t>As per OECD DAC definition, the term ‘results’ includes: ‘impact’ (overall objective), ‘outcome(s)’ (specific objective(s) and ‘output(s)’.</w:t>
      </w:r>
    </w:p>
  </w:footnote>
  <w:footnote w:id="15">
    <w:p w14:paraId="00DF50E3" w14:textId="77777777" w:rsidR="005507C7" w:rsidRDefault="005507C7" w:rsidP="001417D6">
      <w:pPr>
        <w:pStyle w:val="Funotentext"/>
      </w:pPr>
      <w:r w:rsidRPr="001417D6">
        <w:rPr>
          <w:rStyle w:val="Funotenzeichen"/>
          <w:sz w:val="20"/>
        </w:rPr>
        <w:footnoteRef/>
      </w:r>
      <w:r>
        <w:tab/>
      </w:r>
      <w:r w:rsidRPr="001417D6">
        <w:t xml:space="preserve">Please note that where volunteer costs are accepted as co-financing, it shall be determined on the basis of the unit cost per volunteer per day as defined and authorised by the European Commission at the following address: </w:t>
      </w:r>
      <w:hyperlink r:id="rId6" w:history="1">
        <w:r w:rsidRPr="001417D6">
          <w:rPr>
            <w:rStyle w:val="Hyperlink"/>
          </w:rPr>
          <w:t>https://ec.europa.eu/info/funding-tenders/opportunities/docs/2021-2027/common/guidance/unit-cost-decision</w:t>
        </w:r>
      </w:hyperlink>
      <w:r w:rsidRPr="001417D6">
        <w:t>.</w:t>
      </w:r>
    </w:p>
  </w:footnote>
  <w:footnote w:id="16">
    <w:p w14:paraId="122EC938" w14:textId="77777777" w:rsidR="005507C7" w:rsidRDefault="005507C7" w:rsidP="001417D6">
      <w:pPr>
        <w:pStyle w:val="Funotentext"/>
      </w:pPr>
      <w:r w:rsidRPr="001417D6">
        <w:rPr>
          <w:rStyle w:val="Funotenzeichen"/>
          <w:sz w:val="20"/>
        </w:rPr>
        <w:footnoteRef/>
      </w:r>
      <w:r>
        <w:tab/>
      </w:r>
      <w:r w:rsidRPr="001417D6">
        <w:t xml:space="preserve">Natural persons who apply for a grant (if </w:t>
      </w:r>
      <w:proofErr w:type="gramStart"/>
      <w:r w:rsidRPr="001417D6">
        <w:t>so</w:t>
      </w:r>
      <w:proofErr w:type="gramEnd"/>
      <w:r w:rsidRPr="001417D6">
        <w:t xml:space="preserve"> allowed in the guidelines) do not have to register in PADOR. In this case, the information included in PROSPECT and in the concept note is sufficient.</w:t>
      </w:r>
    </w:p>
  </w:footnote>
  <w:footnote w:id="17">
    <w:p w14:paraId="27EA1807" w14:textId="77777777" w:rsidR="005507C7" w:rsidRDefault="005507C7" w:rsidP="001417D6">
      <w:pPr>
        <w:pStyle w:val="Funotentext"/>
      </w:pPr>
      <w:r w:rsidRPr="001D7ABB">
        <w:rPr>
          <w:vertAlign w:val="superscript"/>
        </w:rPr>
        <w:footnoteRef/>
      </w:r>
      <w:r>
        <w:tab/>
      </w:r>
      <w:r w:rsidRPr="001D7ABB">
        <w:t>Which corresponds to Annex F – PADOR off-line form (</w:t>
      </w:r>
      <w:r>
        <w:t>Practical guide,</w:t>
      </w:r>
      <w:r w:rsidRPr="001D7ABB">
        <w:t xml:space="preserve"> </w:t>
      </w:r>
      <w:r>
        <w:t>A</w:t>
      </w:r>
      <w:r w:rsidRPr="001D7ABB">
        <w:t>nnex e13).</w:t>
      </w:r>
    </w:p>
  </w:footnote>
  <w:footnote w:id="18">
    <w:p w14:paraId="5AA889BD" w14:textId="77777777" w:rsidR="005507C7" w:rsidRDefault="005507C7" w:rsidP="001417D6">
      <w:pPr>
        <w:pStyle w:val="Funotentext"/>
      </w:pPr>
      <w:r w:rsidRPr="001417D6">
        <w:rPr>
          <w:rStyle w:val="Funotenzeichen"/>
          <w:sz w:val="20"/>
        </w:rPr>
        <w:footnoteRef/>
      </w:r>
      <w:r>
        <w:tab/>
      </w:r>
      <w:r w:rsidRPr="001417D6">
        <w:t xml:space="preserve">Natural persons who apply for a grant (if </w:t>
      </w:r>
      <w:proofErr w:type="gramStart"/>
      <w:r w:rsidRPr="001417D6">
        <w:t>so</w:t>
      </w:r>
      <w:proofErr w:type="gramEnd"/>
      <w:r w:rsidRPr="001417D6">
        <w:t xml:space="preserve"> allowed in the guidelines for applicants) do not have to provide an organisation data form. In this case, the information included in the grant application form is sufficient.</w:t>
      </w:r>
    </w:p>
  </w:footnote>
  <w:footnote w:id="19">
    <w:p w14:paraId="0EB8FAE8" w14:textId="77777777" w:rsidR="005507C7" w:rsidRDefault="005507C7" w:rsidP="001417D6">
      <w:pPr>
        <w:pStyle w:val="Funotentext"/>
      </w:pPr>
    </w:p>
  </w:footnote>
  <w:footnote w:id="20">
    <w:p w14:paraId="697E4CFA" w14:textId="77777777" w:rsidR="005507C7" w:rsidRDefault="005507C7" w:rsidP="001417D6">
      <w:pPr>
        <w:pStyle w:val="Funotentext"/>
      </w:pPr>
      <w:r w:rsidRPr="001417D6">
        <w:rPr>
          <w:rStyle w:val="Funotenzeichen"/>
          <w:sz w:val="20"/>
        </w:rPr>
        <w:footnoteRef/>
      </w:r>
      <w:r>
        <w:tab/>
      </w:r>
      <w:r w:rsidRPr="001417D6">
        <w:rPr>
          <w:lang w:val="en-IE"/>
        </w:rPr>
        <w:t>No supporting documents will be requested for applications for a grant not exceeding EUR 60 000,</w:t>
      </w:r>
      <w:r w:rsidRPr="001417D6">
        <w:t xml:space="preserve"> or the following categories of lead applicants: (</w:t>
      </w:r>
      <w:proofErr w:type="spellStart"/>
      <w:r w:rsidRPr="001417D6">
        <w:t>i</w:t>
      </w:r>
      <w:proofErr w:type="spellEnd"/>
      <w:r w:rsidRPr="001417D6">
        <w:t>) natural persons in receipt of education support (ii) natural persons most in need, such as unemployed and refugees, and in receipt of direct support (iii) public bodies, including Member State organisations (iv) international organisations.</w:t>
      </w:r>
      <w:r w:rsidRPr="001417D6">
        <w:rPr>
          <w:lang w:val="en-IE"/>
        </w:rPr>
        <w:t xml:space="preserve"> </w:t>
      </w:r>
    </w:p>
  </w:footnote>
  <w:footnote w:id="21">
    <w:p w14:paraId="2D5C0397" w14:textId="77777777" w:rsidR="005507C7" w:rsidRDefault="005507C7" w:rsidP="001417D6">
      <w:pPr>
        <w:pStyle w:val="Funotentext"/>
      </w:pPr>
      <w:r w:rsidRPr="001417D6">
        <w:rPr>
          <w:rStyle w:val="Funotenzeichen"/>
          <w:sz w:val="20"/>
        </w:rPr>
        <w:footnoteRef/>
      </w:r>
      <w:r>
        <w:tab/>
      </w:r>
      <w:r w:rsidRPr="001417D6">
        <w:t>Please note that only the QES within the meaning of Regulation (EU) No 910/2014 (</w:t>
      </w:r>
      <w:proofErr w:type="spellStart"/>
      <w:r w:rsidRPr="001417D6">
        <w:t>eIDAS</w:t>
      </w:r>
      <w:proofErr w:type="spellEnd"/>
      <w:r w:rsidRPr="001417D6">
        <w:t xml:space="preserve"> Regulation) will be accepted. </w:t>
      </w:r>
      <w:r w:rsidRPr="001417D6">
        <w:rPr>
          <w:lang w:val="en-IE"/>
        </w:rPr>
        <w:t>Regulation (EU) No 910/2014 of the European Parliament and of the Council of 23 July 2014 on electronic identification and trust services for electronic transactions in the internal market and repealing Directive 1999/93/EC.</w:t>
      </w:r>
    </w:p>
  </w:footnote>
  <w:footnote w:id="22">
    <w:p w14:paraId="3E02797E" w14:textId="77777777" w:rsidR="005507C7" w:rsidRDefault="005507C7" w:rsidP="001417D6">
      <w:pPr>
        <w:pStyle w:val="Funotentext"/>
      </w:pPr>
      <w:r w:rsidRPr="001417D6">
        <w:rPr>
          <w:rStyle w:val="Funotenzeichen"/>
          <w:sz w:val="20"/>
        </w:rPr>
        <w:footnoteRef/>
      </w:r>
      <w:r>
        <w:tab/>
      </w:r>
      <w:r w:rsidRPr="001417D6">
        <w:t>If the PADOR registration form is submitted, this shall be accompanied by the requested supporting documents.</w:t>
      </w:r>
    </w:p>
  </w:footnote>
  <w:footnote w:id="23">
    <w:p w14:paraId="7FFBB51B" w14:textId="77777777" w:rsidR="005507C7" w:rsidRDefault="005507C7" w:rsidP="001417D6">
      <w:pPr>
        <w:pStyle w:val="Funotentext"/>
      </w:pPr>
      <w:r w:rsidRPr="001417D6">
        <w:rPr>
          <w:rStyle w:val="Funotenzeichen"/>
          <w:sz w:val="20"/>
        </w:rPr>
        <w:footnoteRef/>
      </w:r>
      <w:r>
        <w:tab/>
      </w:r>
      <w:r w:rsidRPr="001417D6">
        <w:t xml:space="preserve">See footnote </w:t>
      </w:r>
      <w:r w:rsidRPr="001417D6">
        <w:fldChar w:fldCharType="begin"/>
      </w:r>
      <w:r w:rsidRPr="001417D6">
        <w:instrText xml:space="preserve"> NOTEREF _Ref164266883 \h </w:instrText>
      </w:r>
      <w:r>
        <w:instrText xml:space="preserve"> \* MERGEFORMAT </w:instrText>
      </w:r>
      <w:r w:rsidRPr="001417D6">
        <w:fldChar w:fldCharType="separate"/>
      </w:r>
      <w:r w:rsidRPr="001417D6">
        <w:t>32</w:t>
      </w:r>
      <w:r w:rsidRPr="001417D6">
        <w:fldChar w:fldCharType="end"/>
      </w:r>
      <w:r w:rsidRPr="001417D6">
        <w:t>.</w:t>
      </w:r>
    </w:p>
  </w:footnote>
  <w:footnote w:id="24">
    <w:p w14:paraId="765FC0F2" w14:textId="77777777" w:rsidR="005507C7" w:rsidRDefault="005507C7" w:rsidP="001417D6">
      <w:pPr>
        <w:pStyle w:val="Funotentext"/>
      </w:pPr>
      <w:r w:rsidRPr="001417D6">
        <w:rPr>
          <w:vertAlign w:val="superscript"/>
        </w:rPr>
        <w:footnoteRef/>
      </w:r>
      <w:r>
        <w:tab/>
      </w:r>
      <w:r w:rsidRPr="001417D6">
        <w:t>These documents should also be published by the contracting authority.</w:t>
      </w:r>
    </w:p>
  </w:footnote>
  <w:footnote w:id="25">
    <w:p w14:paraId="5279F2BB" w14:textId="77777777" w:rsidR="005507C7" w:rsidRDefault="005507C7" w:rsidP="001417D6">
      <w:pPr>
        <w:pStyle w:val="Funotentext"/>
      </w:pPr>
      <w:r w:rsidRPr="001417D6">
        <w:rPr>
          <w:rStyle w:val="Funotenzeichen"/>
          <w:sz w:val="20"/>
        </w:rPr>
        <w:footnoteRef/>
      </w:r>
      <w:r>
        <w:tab/>
      </w:r>
      <w:r w:rsidRPr="001417D6">
        <w:t>Please note that the toolkit is not part of the grant contract and has no legal value. It merely provides general guidance and may in some details differ from the signed grant contract. In order to ensure compliance with their contractual obligations, beneficiaries should not exclusively rely on the toolkit but always consult their individual contract documents.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FF"/>
    <w:lvl w:ilvl="0">
      <w:start w:val="1"/>
      <w:numFmt w:val="decimal"/>
      <w:pStyle w:val="berschrift3"/>
      <w:lvlText w:val="%1."/>
      <w:lvlJc w:val="left"/>
      <w:pPr>
        <w:ind w:left="360" w:hanging="360"/>
      </w:pPr>
      <w:rPr>
        <w:rFonts w:cs="Times New Roman" w:hint="default"/>
      </w:rPr>
    </w:lvl>
  </w:abstractNum>
  <w:abstractNum w:abstractNumId="1" w15:restartNumberingAfterBreak="0">
    <w:nsid w:val="FFFFFF80"/>
    <w:multiLevelType w:val="multilevel"/>
    <w:tmpl w:val="FFFFFFFF"/>
    <w:lvl w:ilvl="0">
      <w:start w:val="1"/>
      <w:numFmt w:val="bullet"/>
      <w:pStyle w:val="Application3"/>
      <w:lvlText w:val=""/>
      <w:lvlJc w:val="left"/>
      <w:pPr>
        <w:tabs>
          <w:tab w:val="num" w:pos="1492"/>
        </w:tabs>
        <w:ind w:left="1492" w:hanging="360"/>
      </w:pPr>
      <w:rPr>
        <w:rFonts w:ascii="Symbol" w:hAnsi="Symbol" w:hint="default"/>
      </w:rPr>
    </w:lvl>
    <w:lvl w:ilvl="1">
      <w:numFmt w:val="decimal"/>
      <w:pStyle w:val="ListNumber2Level2"/>
      <w:lvlText w:val=""/>
      <w:lvlJc w:val="left"/>
      <w:rPr>
        <w:rFonts w:cs="Times New Roman"/>
      </w:rPr>
    </w:lvl>
    <w:lvl w:ilvl="2">
      <w:numFmt w:val="decimal"/>
      <w:pStyle w:val="ListNumber2Level3"/>
      <w:lvlText w:val=""/>
      <w:lvlJc w:val="left"/>
      <w:rPr>
        <w:rFonts w:cs="Times New Roman"/>
      </w:rPr>
    </w:lvl>
    <w:lvl w:ilvl="3">
      <w:numFmt w:val="decimal"/>
      <w:pStyle w:val="ListNumber2Level4"/>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FFFFFF89"/>
    <w:multiLevelType w:val="singleLevel"/>
    <w:tmpl w:val="FFFFFFFF"/>
    <w:lvl w:ilvl="0">
      <w:start w:val="1"/>
      <w:numFmt w:val="bullet"/>
      <w:pStyle w:val="Guidelines3"/>
      <w:lvlText w:val=""/>
      <w:lvlJc w:val="left"/>
      <w:pPr>
        <w:tabs>
          <w:tab w:val="num" w:pos="360"/>
        </w:tabs>
        <w:ind w:left="360" w:hanging="360"/>
      </w:pPr>
      <w:rPr>
        <w:rFonts w:ascii="Symbol" w:hAnsi="Symbol" w:hint="default"/>
      </w:rPr>
    </w:lvl>
  </w:abstractNum>
  <w:abstractNum w:abstractNumId="3" w15:restartNumberingAfterBreak="0">
    <w:nsid w:val="01652CCC"/>
    <w:multiLevelType w:val="multilevel"/>
    <w:tmpl w:val="FFFFFFFF"/>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851" w:hanging="851"/>
      </w:pPr>
      <w:rPr>
        <w:rFonts w:ascii="Times New Roman Bold" w:hAnsi="Times New Roman Bold" w:cs="Times New Roman"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1ED064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04643"/>
    <w:multiLevelType w:val="hybridMultilevel"/>
    <w:tmpl w:val="57CA6DA6"/>
    <w:lvl w:ilvl="0" w:tplc="91585BA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D2A25"/>
    <w:multiLevelType w:val="hybridMultilevel"/>
    <w:tmpl w:val="FFFFFFFF"/>
    <w:lvl w:ilvl="0" w:tplc="B8AC50E4">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AF8742D"/>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904BE"/>
    <w:multiLevelType w:val="hybridMultilevel"/>
    <w:tmpl w:val="49B87E1A"/>
    <w:lvl w:ilvl="0" w:tplc="91585BA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955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D596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B0D24"/>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C34F6"/>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4A1798"/>
    <w:multiLevelType w:val="hybridMultilevel"/>
    <w:tmpl w:val="FFFFFFFF"/>
    <w:lvl w:ilvl="0" w:tplc="CCAEE030">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26A957C6"/>
    <w:multiLevelType w:val="hybridMultilevel"/>
    <w:tmpl w:val="FFFFFFFF"/>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hint="default"/>
      </w:rPr>
    </w:lvl>
    <w:lvl w:ilvl="2" w:tplc="18090005">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5" w15:restartNumberingAfterBreak="0">
    <w:nsid w:val="28FA2671"/>
    <w:multiLevelType w:val="hybridMultilevel"/>
    <w:tmpl w:val="FAF89626"/>
    <w:lvl w:ilvl="0" w:tplc="91585BA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0292A"/>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40910"/>
    <w:multiLevelType w:val="hybridMultilevel"/>
    <w:tmpl w:val="FFFFFFFF"/>
    <w:lvl w:ilvl="0" w:tplc="54A2365C">
      <w:start w:val="1"/>
      <w:numFmt w:val="lowerRoman"/>
      <w:lvlText w:val="(%1)"/>
      <w:lvlJc w:val="left"/>
      <w:pPr>
        <w:ind w:left="1080" w:hanging="720"/>
      </w:pPr>
      <w:rPr>
        <w:rFonts w:cs="Times New Roman" w:hint="default"/>
      </w:rPr>
    </w:lvl>
    <w:lvl w:ilvl="1" w:tplc="8084C9E2">
      <w:start w:val="1"/>
      <w:numFmt w:val="lowerLetter"/>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09B3BCD"/>
    <w:multiLevelType w:val="hybridMultilevel"/>
    <w:tmpl w:val="FFFFFFFF"/>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25047BB"/>
    <w:multiLevelType w:val="hybridMultilevel"/>
    <w:tmpl w:val="FFFFFFFF"/>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7D322C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44FBD"/>
    <w:multiLevelType w:val="hybridMultilevel"/>
    <w:tmpl w:val="FFFFFFFF"/>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2" w15:restartNumberingAfterBreak="0">
    <w:nsid w:val="4F524FF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59154E"/>
    <w:multiLevelType w:val="hybridMultilevel"/>
    <w:tmpl w:val="FFFFFFFF"/>
    <w:lvl w:ilvl="0" w:tplc="F6442AF2">
      <w:start w:val="1"/>
      <w:numFmt w:val="decimal"/>
      <w:lvlText w:val="(%1)"/>
      <w:lvlJc w:val="left"/>
      <w:pPr>
        <w:ind w:left="993" w:hanging="567"/>
      </w:pPr>
      <w:rPr>
        <w:rFonts w:cs="Times New Roman" w:hint="default"/>
      </w:rPr>
    </w:lvl>
    <w:lvl w:ilvl="1" w:tplc="08090019">
      <w:start w:val="1"/>
      <w:numFmt w:val="lowerLetter"/>
      <w:lvlText w:val="%2."/>
      <w:lvlJc w:val="left"/>
      <w:pPr>
        <w:ind w:left="1866" w:hanging="360"/>
      </w:pPr>
      <w:rPr>
        <w:rFonts w:cs="Times New Roman"/>
      </w:rPr>
    </w:lvl>
    <w:lvl w:ilvl="2" w:tplc="0809001B" w:tentative="1">
      <w:start w:val="1"/>
      <w:numFmt w:val="lowerRoman"/>
      <w:lvlText w:val="%3."/>
      <w:lvlJc w:val="right"/>
      <w:pPr>
        <w:ind w:left="2586" w:hanging="180"/>
      </w:pPr>
      <w:rPr>
        <w:rFonts w:cs="Times New Roman"/>
      </w:rPr>
    </w:lvl>
    <w:lvl w:ilvl="3" w:tplc="0809000F" w:tentative="1">
      <w:start w:val="1"/>
      <w:numFmt w:val="decimal"/>
      <w:lvlText w:val="%4."/>
      <w:lvlJc w:val="left"/>
      <w:pPr>
        <w:ind w:left="3306" w:hanging="360"/>
      </w:pPr>
      <w:rPr>
        <w:rFonts w:cs="Times New Roman"/>
      </w:rPr>
    </w:lvl>
    <w:lvl w:ilvl="4" w:tplc="08090019" w:tentative="1">
      <w:start w:val="1"/>
      <w:numFmt w:val="lowerLetter"/>
      <w:lvlText w:val="%5."/>
      <w:lvlJc w:val="left"/>
      <w:pPr>
        <w:ind w:left="4026" w:hanging="360"/>
      </w:pPr>
      <w:rPr>
        <w:rFonts w:cs="Times New Roman"/>
      </w:rPr>
    </w:lvl>
    <w:lvl w:ilvl="5" w:tplc="0809001B" w:tentative="1">
      <w:start w:val="1"/>
      <w:numFmt w:val="lowerRoman"/>
      <w:lvlText w:val="%6."/>
      <w:lvlJc w:val="right"/>
      <w:pPr>
        <w:ind w:left="4746" w:hanging="180"/>
      </w:pPr>
      <w:rPr>
        <w:rFonts w:cs="Times New Roman"/>
      </w:rPr>
    </w:lvl>
    <w:lvl w:ilvl="6" w:tplc="0809000F" w:tentative="1">
      <w:start w:val="1"/>
      <w:numFmt w:val="decimal"/>
      <w:lvlText w:val="%7."/>
      <w:lvlJc w:val="left"/>
      <w:pPr>
        <w:ind w:left="5466" w:hanging="360"/>
      </w:pPr>
      <w:rPr>
        <w:rFonts w:cs="Times New Roman"/>
      </w:rPr>
    </w:lvl>
    <w:lvl w:ilvl="7" w:tplc="08090019" w:tentative="1">
      <w:start w:val="1"/>
      <w:numFmt w:val="lowerLetter"/>
      <w:lvlText w:val="%8."/>
      <w:lvlJc w:val="left"/>
      <w:pPr>
        <w:ind w:left="6186" w:hanging="360"/>
      </w:pPr>
      <w:rPr>
        <w:rFonts w:cs="Times New Roman"/>
      </w:rPr>
    </w:lvl>
    <w:lvl w:ilvl="8" w:tplc="0809001B" w:tentative="1">
      <w:start w:val="1"/>
      <w:numFmt w:val="lowerRoman"/>
      <w:lvlText w:val="%9."/>
      <w:lvlJc w:val="right"/>
      <w:pPr>
        <w:ind w:left="6906" w:hanging="180"/>
      </w:pPr>
      <w:rPr>
        <w:rFonts w:cs="Times New Roman"/>
      </w:rPr>
    </w:lvl>
  </w:abstractNum>
  <w:abstractNum w:abstractNumId="24" w15:restartNumberingAfterBreak="0">
    <w:nsid w:val="5532308E"/>
    <w:multiLevelType w:val="hybridMultilevel"/>
    <w:tmpl w:val="EDF0BB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419D9"/>
    <w:multiLevelType w:val="multilevel"/>
    <w:tmpl w:val="FFFFFFFF"/>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8DB064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A76BA"/>
    <w:multiLevelType w:val="hybridMultilevel"/>
    <w:tmpl w:val="FFFFFFFF"/>
    <w:lvl w:ilvl="0" w:tplc="BFA0F0AE">
      <w:start w:val="5"/>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70204BF7"/>
    <w:multiLevelType w:val="hybridMultilevel"/>
    <w:tmpl w:val="FFFFFFFF"/>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C5352"/>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AA78DE"/>
    <w:multiLevelType w:val="hybridMultilevel"/>
    <w:tmpl w:val="FFFFFFFF"/>
    <w:lvl w:ilvl="0" w:tplc="AD56605C">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8B7635C"/>
    <w:multiLevelType w:val="hybridMultilevel"/>
    <w:tmpl w:val="FFFFFFFF"/>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A978F4"/>
    <w:multiLevelType w:val="hybridMultilevel"/>
    <w:tmpl w:val="FFFFFFFF"/>
    <w:lvl w:ilvl="0" w:tplc="FFFFFFFF">
      <w:start w:val="1"/>
      <w:numFmt w:val="lowerLetter"/>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33" w15:restartNumberingAfterBreak="0">
    <w:nsid w:val="7D9465F7"/>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A1E7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3"/>
  </w:num>
  <w:num w:numId="7">
    <w:abstractNumId w:val="10"/>
  </w:num>
  <w:num w:numId="8">
    <w:abstractNumId w:val="20"/>
  </w:num>
  <w:num w:numId="9">
    <w:abstractNumId w:val="34"/>
  </w:num>
  <w:num w:numId="10">
    <w:abstractNumId w:val="19"/>
  </w:num>
  <w:num w:numId="11">
    <w:abstractNumId w:val="9"/>
  </w:num>
  <w:num w:numId="12">
    <w:abstractNumId w:val="28"/>
  </w:num>
  <w:num w:numId="13">
    <w:abstractNumId w:val="23"/>
  </w:num>
  <w:num w:numId="14">
    <w:abstractNumId w:val="11"/>
  </w:num>
  <w:num w:numId="15">
    <w:abstractNumId w:val="33"/>
  </w:num>
  <w:num w:numId="16">
    <w:abstractNumId w:val="16"/>
  </w:num>
  <w:num w:numId="17">
    <w:abstractNumId w:val="7"/>
  </w:num>
  <w:num w:numId="18">
    <w:abstractNumId w:val="18"/>
  </w:num>
  <w:num w:numId="19">
    <w:abstractNumId w:val="17"/>
  </w:num>
  <w:num w:numId="20">
    <w:abstractNumId w:val="27"/>
  </w:num>
  <w:num w:numId="21">
    <w:abstractNumId w:val="21"/>
  </w:num>
  <w:num w:numId="22">
    <w:abstractNumId w:val="31"/>
  </w:num>
  <w:num w:numId="23">
    <w:abstractNumId w:val="6"/>
  </w:num>
  <w:num w:numId="24">
    <w:abstractNumId w:val="29"/>
  </w:num>
  <w:num w:numId="25">
    <w:abstractNumId w:val="13"/>
  </w:num>
  <w:num w:numId="26">
    <w:abstractNumId w:val="14"/>
  </w:num>
  <w:num w:numId="27">
    <w:abstractNumId w:val="12"/>
  </w:num>
  <w:num w:numId="28">
    <w:abstractNumId w:val="30"/>
  </w:num>
  <w:num w:numId="29">
    <w:abstractNumId w:val="32"/>
  </w:num>
  <w:num w:numId="30">
    <w:abstractNumId w:val="4"/>
  </w:num>
  <w:num w:numId="31">
    <w:abstractNumId w:val="26"/>
  </w:num>
  <w:num w:numId="32">
    <w:abstractNumId w:val="22"/>
  </w:num>
  <w:num w:numId="33">
    <w:abstractNumId w:val="15"/>
  </w:num>
  <w:num w:numId="34">
    <w:abstractNumId w:val="5"/>
  </w:num>
  <w:num w:numId="35">
    <w:abstractNumId w:val="8"/>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BE" w:vendorID="64" w:dllVersion="6" w:nlCheck="1" w:checkStyle="0"/>
  <w:activeWritingStyle w:appName="MSWord" w:lang="en-GB" w:vendorID="64" w:dllVersion="6" w:nlCheck="1" w:checkStyle="1"/>
  <w:activeWritingStyle w:appName="MSWord" w:lang="es-ES"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es-E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49B5"/>
    <w:rsid w:val="00000189"/>
    <w:rsid w:val="00000396"/>
    <w:rsid w:val="0000050E"/>
    <w:rsid w:val="00000B02"/>
    <w:rsid w:val="000015FC"/>
    <w:rsid w:val="00001767"/>
    <w:rsid w:val="00001F83"/>
    <w:rsid w:val="000030E5"/>
    <w:rsid w:val="00003166"/>
    <w:rsid w:val="00003724"/>
    <w:rsid w:val="000041CB"/>
    <w:rsid w:val="000041CE"/>
    <w:rsid w:val="000043F8"/>
    <w:rsid w:val="0000587D"/>
    <w:rsid w:val="00006069"/>
    <w:rsid w:val="00006318"/>
    <w:rsid w:val="00007BEE"/>
    <w:rsid w:val="0001129D"/>
    <w:rsid w:val="00011765"/>
    <w:rsid w:val="0001251B"/>
    <w:rsid w:val="000127B4"/>
    <w:rsid w:val="00012898"/>
    <w:rsid w:val="00012BBB"/>
    <w:rsid w:val="00012D9A"/>
    <w:rsid w:val="0001411D"/>
    <w:rsid w:val="0001462B"/>
    <w:rsid w:val="0001485A"/>
    <w:rsid w:val="00014BB7"/>
    <w:rsid w:val="00014E97"/>
    <w:rsid w:val="000159A3"/>
    <w:rsid w:val="00016EDD"/>
    <w:rsid w:val="00017505"/>
    <w:rsid w:val="000176DE"/>
    <w:rsid w:val="00017DDF"/>
    <w:rsid w:val="00017EFF"/>
    <w:rsid w:val="00020C81"/>
    <w:rsid w:val="000220E5"/>
    <w:rsid w:val="00022D3C"/>
    <w:rsid w:val="000234DA"/>
    <w:rsid w:val="00023576"/>
    <w:rsid w:val="0002374A"/>
    <w:rsid w:val="0002503B"/>
    <w:rsid w:val="00025394"/>
    <w:rsid w:val="00025CFB"/>
    <w:rsid w:val="00026D5B"/>
    <w:rsid w:val="000275A9"/>
    <w:rsid w:val="00027881"/>
    <w:rsid w:val="00027C2F"/>
    <w:rsid w:val="0003006C"/>
    <w:rsid w:val="00030A89"/>
    <w:rsid w:val="00030E42"/>
    <w:rsid w:val="000312D2"/>
    <w:rsid w:val="00031E41"/>
    <w:rsid w:val="000323AD"/>
    <w:rsid w:val="00033A1F"/>
    <w:rsid w:val="00034524"/>
    <w:rsid w:val="00034906"/>
    <w:rsid w:val="00034BC8"/>
    <w:rsid w:val="0003584C"/>
    <w:rsid w:val="00035AB5"/>
    <w:rsid w:val="00036F0B"/>
    <w:rsid w:val="0003772E"/>
    <w:rsid w:val="0004015D"/>
    <w:rsid w:val="000405C5"/>
    <w:rsid w:val="00040730"/>
    <w:rsid w:val="000408E7"/>
    <w:rsid w:val="00042967"/>
    <w:rsid w:val="000445D3"/>
    <w:rsid w:val="00045368"/>
    <w:rsid w:val="00045E79"/>
    <w:rsid w:val="00045F72"/>
    <w:rsid w:val="00046C46"/>
    <w:rsid w:val="00047C7D"/>
    <w:rsid w:val="00050B50"/>
    <w:rsid w:val="00050E48"/>
    <w:rsid w:val="0005133A"/>
    <w:rsid w:val="0005169C"/>
    <w:rsid w:val="00051AC1"/>
    <w:rsid w:val="00054B49"/>
    <w:rsid w:val="00054F87"/>
    <w:rsid w:val="00055FED"/>
    <w:rsid w:val="00056377"/>
    <w:rsid w:val="000572EE"/>
    <w:rsid w:val="000603C3"/>
    <w:rsid w:val="0006044D"/>
    <w:rsid w:val="00061086"/>
    <w:rsid w:val="000616CA"/>
    <w:rsid w:val="00061871"/>
    <w:rsid w:val="000618B3"/>
    <w:rsid w:val="000620AD"/>
    <w:rsid w:val="00062A91"/>
    <w:rsid w:val="000636F3"/>
    <w:rsid w:val="000638B5"/>
    <w:rsid w:val="00063A68"/>
    <w:rsid w:val="00063B9A"/>
    <w:rsid w:val="0006462B"/>
    <w:rsid w:val="0006470D"/>
    <w:rsid w:val="0006470E"/>
    <w:rsid w:val="00064836"/>
    <w:rsid w:val="0006488E"/>
    <w:rsid w:val="000648BB"/>
    <w:rsid w:val="0006505A"/>
    <w:rsid w:val="00065311"/>
    <w:rsid w:val="00065C6A"/>
    <w:rsid w:val="00065F32"/>
    <w:rsid w:val="00066C30"/>
    <w:rsid w:val="00066C91"/>
    <w:rsid w:val="00067591"/>
    <w:rsid w:val="00067A85"/>
    <w:rsid w:val="000712A0"/>
    <w:rsid w:val="0007171B"/>
    <w:rsid w:val="000728FC"/>
    <w:rsid w:val="000734D6"/>
    <w:rsid w:val="000735EC"/>
    <w:rsid w:val="0007408E"/>
    <w:rsid w:val="000745FC"/>
    <w:rsid w:val="0007498A"/>
    <w:rsid w:val="000752CD"/>
    <w:rsid w:val="0007546C"/>
    <w:rsid w:val="00076061"/>
    <w:rsid w:val="000762B7"/>
    <w:rsid w:val="000762FC"/>
    <w:rsid w:val="00077B92"/>
    <w:rsid w:val="00077BB8"/>
    <w:rsid w:val="00080947"/>
    <w:rsid w:val="00081B91"/>
    <w:rsid w:val="00082D09"/>
    <w:rsid w:val="00082F25"/>
    <w:rsid w:val="000842B5"/>
    <w:rsid w:val="00084CB5"/>
    <w:rsid w:val="000852E9"/>
    <w:rsid w:val="0008570E"/>
    <w:rsid w:val="00085BC3"/>
    <w:rsid w:val="0008672E"/>
    <w:rsid w:val="00087373"/>
    <w:rsid w:val="00090A34"/>
    <w:rsid w:val="000919FB"/>
    <w:rsid w:val="00092286"/>
    <w:rsid w:val="00092688"/>
    <w:rsid w:val="00092AB2"/>
    <w:rsid w:val="00093C1F"/>
    <w:rsid w:val="00093DA8"/>
    <w:rsid w:val="0009588C"/>
    <w:rsid w:val="00095C5E"/>
    <w:rsid w:val="00095EC4"/>
    <w:rsid w:val="0009657A"/>
    <w:rsid w:val="000971D0"/>
    <w:rsid w:val="00097401"/>
    <w:rsid w:val="00097686"/>
    <w:rsid w:val="00097B47"/>
    <w:rsid w:val="000A04BD"/>
    <w:rsid w:val="000A2C18"/>
    <w:rsid w:val="000A4055"/>
    <w:rsid w:val="000A486E"/>
    <w:rsid w:val="000A51F3"/>
    <w:rsid w:val="000A60D9"/>
    <w:rsid w:val="000A7766"/>
    <w:rsid w:val="000B071C"/>
    <w:rsid w:val="000B0FF1"/>
    <w:rsid w:val="000B1032"/>
    <w:rsid w:val="000B1B0A"/>
    <w:rsid w:val="000B21CB"/>
    <w:rsid w:val="000B2496"/>
    <w:rsid w:val="000B24FE"/>
    <w:rsid w:val="000B2A3D"/>
    <w:rsid w:val="000B327F"/>
    <w:rsid w:val="000B7AC2"/>
    <w:rsid w:val="000B7FE7"/>
    <w:rsid w:val="000C00BF"/>
    <w:rsid w:val="000C024F"/>
    <w:rsid w:val="000C06A5"/>
    <w:rsid w:val="000C06B6"/>
    <w:rsid w:val="000C0AD6"/>
    <w:rsid w:val="000C1624"/>
    <w:rsid w:val="000C183F"/>
    <w:rsid w:val="000C2C50"/>
    <w:rsid w:val="000C3776"/>
    <w:rsid w:val="000C3E25"/>
    <w:rsid w:val="000C4252"/>
    <w:rsid w:val="000C4276"/>
    <w:rsid w:val="000C6140"/>
    <w:rsid w:val="000C6593"/>
    <w:rsid w:val="000C6B6E"/>
    <w:rsid w:val="000C72A6"/>
    <w:rsid w:val="000D016F"/>
    <w:rsid w:val="000D240A"/>
    <w:rsid w:val="000D26FA"/>
    <w:rsid w:val="000D40CC"/>
    <w:rsid w:val="000D41A5"/>
    <w:rsid w:val="000D46D7"/>
    <w:rsid w:val="000D5F55"/>
    <w:rsid w:val="000D5F99"/>
    <w:rsid w:val="000D61C6"/>
    <w:rsid w:val="000D773C"/>
    <w:rsid w:val="000D7ACD"/>
    <w:rsid w:val="000E123D"/>
    <w:rsid w:val="000E1508"/>
    <w:rsid w:val="000E19B9"/>
    <w:rsid w:val="000E1C1C"/>
    <w:rsid w:val="000E2AF6"/>
    <w:rsid w:val="000E2E9C"/>
    <w:rsid w:val="000E3294"/>
    <w:rsid w:val="000E32B1"/>
    <w:rsid w:val="000E38CD"/>
    <w:rsid w:val="000E4726"/>
    <w:rsid w:val="000E5BD3"/>
    <w:rsid w:val="000E76E9"/>
    <w:rsid w:val="000F1310"/>
    <w:rsid w:val="000F197D"/>
    <w:rsid w:val="000F2165"/>
    <w:rsid w:val="000F22BC"/>
    <w:rsid w:val="000F3E8E"/>
    <w:rsid w:val="000F47D9"/>
    <w:rsid w:val="000F52E2"/>
    <w:rsid w:val="000F5467"/>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6201"/>
    <w:rsid w:val="00107C6D"/>
    <w:rsid w:val="00112225"/>
    <w:rsid w:val="00112451"/>
    <w:rsid w:val="00112E4F"/>
    <w:rsid w:val="0011455E"/>
    <w:rsid w:val="00114A00"/>
    <w:rsid w:val="00114EE7"/>
    <w:rsid w:val="001151FE"/>
    <w:rsid w:val="0011551C"/>
    <w:rsid w:val="001158D6"/>
    <w:rsid w:val="001162F0"/>
    <w:rsid w:val="00116A5C"/>
    <w:rsid w:val="00116BB5"/>
    <w:rsid w:val="001178DC"/>
    <w:rsid w:val="00120A8D"/>
    <w:rsid w:val="00121219"/>
    <w:rsid w:val="00121CA0"/>
    <w:rsid w:val="00122047"/>
    <w:rsid w:val="00122B03"/>
    <w:rsid w:val="001232A6"/>
    <w:rsid w:val="001236BA"/>
    <w:rsid w:val="00124239"/>
    <w:rsid w:val="001249D9"/>
    <w:rsid w:val="00124DD1"/>
    <w:rsid w:val="001254ED"/>
    <w:rsid w:val="00126371"/>
    <w:rsid w:val="00127131"/>
    <w:rsid w:val="001309F2"/>
    <w:rsid w:val="00132E55"/>
    <w:rsid w:val="0013435B"/>
    <w:rsid w:val="00136AD0"/>
    <w:rsid w:val="0013713C"/>
    <w:rsid w:val="00137168"/>
    <w:rsid w:val="00137436"/>
    <w:rsid w:val="001377DE"/>
    <w:rsid w:val="00137D64"/>
    <w:rsid w:val="00140A0D"/>
    <w:rsid w:val="00140CF0"/>
    <w:rsid w:val="001417D6"/>
    <w:rsid w:val="001418CD"/>
    <w:rsid w:val="001421B6"/>
    <w:rsid w:val="00142E9E"/>
    <w:rsid w:val="00143E05"/>
    <w:rsid w:val="0014692E"/>
    <w:rsid w:val="00146F1C"/>
    <w:rsid w:val="00147ECE"/>
    <w:rsid w:val="0015028B"/>
    <w:rsid w:val="00150568"/>
    <w:rsid w:val="001507E7"/>
    <w:rsid w:val="00151EDE"/>
    <w:rsid w:val="00152797"/>
    <w:rsid w:val="00152F84"/>
    <w:rsid w:val="00153C75"/>
    <w:rsid w:val="00153E80"/>
    <w:rsid w:val="00154428"/>
    <w:rsid w:val="00154C34"/>
    <w:rsid w:val="001554CF"/>
    <w:rsid w:val="001558C4"/>
    <w:rsid w:val="00155BB8"/>
    <w:rsid w:val="001561E0"/>
    <w:rsid w:val="001564BC"/>
    <w:rsid w:val="001566CE"/>
    <w:rsid w:val="00156DE6"/>
    <w:rsid w:val="00157648"/>
    <w:rsid w:val="001606C0"/>
    <w:rsid w:val="00160781"/>
    <w:rsid w:val="00161AC7"/>
    <w:rsid w:val="00161C69"/>
    <w:rsid w:val="00163C3A"/>
    <w:rsid w:val="001640CB"/>
    <w:rsid w:val="0016459B"/>
    <w:rsid w:val="00164917"/>
    <w:rsid w:val="0016598D"/>
    <w:rsid w:val="00165BD6"/>
    <w:rsid w:val="00165D3D"/>
    <w:rsid w:val="00165EB2"/>
    <w:rsid w:val="001664B1"/>
    <w:rsid w:val="00167D43"/>
    <w:rsid w:val="00170A04"/>
    <w:rsid w:val="00172079"/>
    <w:rsid w:val="001729EF"/>
    <w:rsid w:val="0017357A"/>
    <w:rsid w:val="00173829"/>
    <w:rsid w:val="00173C10"/>
    <w:rsid w:val="00175DE7"/>
    <w:rsid w:val="00175F1E"/>
    <w:rsid w:val="00175F39"/>
    <w:rsid w:val="00176363"/>
    <w:rsid w:val="001764DE"/>
    <w:rsid w:val="00176719"/>
    <w:rsid w:val="00176901"/>
    <w:rsid w:val="00176B31"/>
    <w:rsid w:val="00176C61"/>
    <w:rsid w:val="00176FB1"/>
    <w:rsid w:val="0017762C"/>
    <w:rsid w:val="00180523"/>
    <w:rsid w:val="001807CB"/>
    <w:rsid w:val="00180895"/>
    <w:rsid w:val="001817FD"/>
    <w:rsid w:val="0018180E"/>
    <w:rsid w:val="00181D7A"/>
    <w:rsid w:val="001825C6"/>
    <w:rsid w:val="00183435"/>
    <w:rsid w:val="001844EB"/>
    <w:rsid w:val="001848C3"/>
    <w:rsid w:val="001851C2"/>
    <w:rsid w:val="0018622B"/>
    <w:rsid w:val="00186FD3"/>
    <w:rsid w:val="001870D3"/>
    <w:rsid w:val="00187D60"/>
    <w:rsid w:val="00190A83"/>
    <w:rsid w:val="001910CB"/>
    <w:rsid w:val="00192503"/>
    <w:rsid w:val="0019373F"/>
    <w:rsid w:val="001937BC"/>
    <w:rsid w:val="00195347"/>
    <w:rsid w:val="00195EAB"/>
    <w:rsid w:val="001974E4"/>
    <w:rsid w:val="00197634"/>
    <w:rsid w:val="00197AA9"/>
    <w:rsid w:val="001A00CD"/>
    <w:rsid w:val="001A081C"/>
    <w:rsid w:val="001A0FEC"/>
    <w:rsid w:val="001A143D"/>
    <w:rsid w:val="001A1C01"/>
    <w:rsid w:val="001A1E7A"/>
    <w:rsid w:val="001A2107"/>
    <w:rsid w:val="001A27A5"/>
    <w:rsid w:val="001A31B7"/>
    <w:rsid w:val="001A3322"/>
    <w:rsid w:val="001A3734"/>
    <w:rsid w:val="001A394F"/>
    <w:rsid w:val="001A3DAF"/>
    <w:rsid w:val="001A3FE1"/>
    <w:rsid w:val="001A4D38"/>
    <w:rsid w:val="001A4F8E"/>
    <w:rsid w:val="001A5A22"/>
    <w:rsid w:val="001A5C5C"/>
    <w:rsid w:val="001A6140"/>
    <w:rsid w:val="001A7DC2"/>
    <w:rsid w:val="001B03E2"/>
    <w:rsid w:val="001B0750"/>
    <w:rsid w:val="001B2484"/>
    <w:rsid w:val="001B26AC"/>
    <w:rsid w:val="001B4EC0"/>
    <w:rsid w:val="001B53C9"/>
    <w:rsid w:val="001B53ED"/>
    <w:rsid w:val="001B56F6"/>
    <w:rsid w:val="001B596A"/>
    <w:rsid w:val="001B69A5"/>
    <w:rsid w:val="001B6E72"/>
    <w:rsid w:val="001B6F5A"/>
    <w:rsid w:val="001B708C"/>
    <w:rsid w:val="001B7D50"/>
    <w:rsid w:val="001C0A89"/>
    <w:rsid w:val="001C0EFE"/>
    <w:rsid w:val="001C1D2C"/>
    <w:rsid w:val="001C1DBA"/>
    <w:rsid w:val="001C1EB6"/>
    <w:rsid w:val="001C474A"/>
    <w:rsid w:val="001C4D3A"/>
    <w:rsid w:val="001C4EEE"/>
    <w:rsid w:val="001C5CF9"/>
    <w:rsid w:val="001C5D7E"/>
    <w:rsid w:val="001C71E4"/>
    <w:rsid w:val="001C71F8"/>
    <w:rsid w:val="001C7DA0"/>
    <w:rsid w:val="001D07C0"/>
    <w:rsid w:val="001D0C7B"/>
    <w:rsid w:val="001D0D72"/>
    <w:rsid w:val="001D2826"/>
    <w:rsid w:val="001D3C19"/>
    <w:rsid w:val="001D4949"/>
    <w:rsid w:val="001D499F"/>
    <w:rsid w:val="001D540E"/>
    <w:rsid w:val="001D5B79"/>
    <w:rsid w:val="001D5CF0"/>
    <w:rsid w:val="001D6917"/>
    <w:rsid w:val="001D6EA7"/>
    <w:rsid w:val="001D7251"/>
    <w:rsid w:val="001D7ABB"/>
    <w:rsid w:val="001D7B14"/>
    <w:rsid w:val="001E0435"/>
    <w:rsid w:val="001E10DA"/>
    <w:rsid w:val="001E2490"/>
    <w:rsid w:val="001E262B"/>
    <w:rsid w:val="001E274C"/>
    <w:rsid w:val="001E2E0D"/>
    <w:rsid w:val="001E3BA7"/>
    <w:rsid w:val="001E4A72"/>
    <w:rsid w:val="001E4FE1"/>
    <w:rsid w:val="001E61B6"/>
    <w:rsid w:val="001E633D"/>
    <w:rsid w:val="001E6568"/>
    <w:rsid w:val="001E7C41"/>
    <w:rsid w:val="001F08AD"/>
    <w:rsid w:val="001F0C60"/>
    <w:rsid w:val="001F22BC"/>
    <w:rsid w:val="001F4014"/>
    <w:rsid w:val="001F4708"/>
    <w:rsid w:val="001F47DB"/>
    <w:rsid w:val="001F4A09"/>
    <w:rsid w:val="001F59CD"/>
    <w:rsid w:val="001F6434"/>
    <w:rsid w:val="001F7DFC"/>
    <w:rsid w:val="002004B0"/>
    <w:rsid w:val="00200ACF"/>
    <w:rsid w:val="00200DB7"/>
    <w:rsid w:val="002015A7"/>
    <w:rsid w:val="00201CF5"/>
    <w:rsid w:val="00201E89"/>
    <w:rsid w:val="002023D8"/>
    <w:rsid w:val="00203ABF"/>
    <w:rsid w:val="00203BFA"/>
    <w:rsid w:val="0020401B"/>
    <w:rsid w:val="002040AB"/>
    <w:rsid w:val="002045C6"/>
    <w:rsid w:val="00204F64"/>
    <w:rsid w:val="00205C2A"/>
    <w:rsid w:val="00205D6F"/>
    <w:rsid w:val="002060C2"/>
    <w:rsid w:val="0020704F"/>
    <w:rsid w:val="002108AC"/>
    <w:rsid w:val="002112BF"/>
    <w:rsid w:val="00211ADF"/>
    <w:rsid w:val="00211B17"/>
    <w:rsid w:val="00211B8D"/>
    <w:rsid w:val="00212526"/>
    <w:rsid w:val="002128D0"/>
    <w:rsid w:val="00212E0B"/>
    <w:rsid w:val="0021362B"/>
    <w:rsid w:val="00217129"/>
    <w:rsid w:val="00220999"/>
    <w:rsid w:val="0022115B"/>
    <w:rsid w:val="00221163"/>
    <w:rsid w:val="0022120B"/>
    <w:rsid w:val="0022128C"/>
    <w:rsid w:val="00221350"/>
    <w:rsid w:val="00222427"/>
    <w:rsid w:val="0022283B"/>
    <w:rsid w:val="00222886"/>
    <w:rsid w:val="00222AE2"/>
    <w:rsid w:val="00222C04"/>
    <w:rsid w:val="0022324E"/>
    <w:rsid w:val="00223658"/>
    <w:rsid w:val="00223C40"/>
    <w:rsid w:val="002254C4"/>
    <w:rsid w:val="00225C3A"/>
    <w:rsid w:val="00226148"/>
    <w:rsid w:val="002265E1"/>
    <w:rsid w:val="00227148"/>
    <w:rsid w:val="0023018A"/>
    <w:rsid w:val="002311AE"/>
    <w:rsid w:val="00231C23"/>
    <w:rsid w:val="00232301"/>
    <w:rsid w:val="00232FF9"/>
    <w:rsid w:val="00233450"/>
    <w:rsid w:val="00233466"/>
    <w:rsid w:val="00234312"/>
    <w:rsid w:val="00234335"/>
    <w:rsid w:val="002346D0"/>
    <w:rsid w:val="00235015"/>
    <w:rsid w:val="002355D2"/>
    <w:rsid w:val="00236984"/>
    <w:rsid w:val="00237884"/>
    <w:rsid w:val="00237938"/>
    <w:rsid w:val="002379BB"/>
    <w:rsid w:val="00237B61"/>
    <w:rsid w:val="00237BB9"/>
    <w:rsid w:val="0024146B"/>
    <w:rsid w:val="002421FF"/>
    <w:rsid w:val="0024336B"/>
    <w:rsid w:val="00243ECE"/>
    <w:rsid w:val="00244AFA"/>
    <w:rsid w:val="00244BC4"/>
    <w:rsid w:val="00244D10"/>
    <w:rsid w:val="00245478"/>
    <w:rsid w:val="002455CB"/>
    <w:rsid w:val="0024623A"/>
    <w:rsid w:val="0024741C"/>
    <w:rsid w:val="00247941"/>
    <w:rsid w:val="00250AE3"/>
    <w:rsid w:val="0025111E"/>
    <w:rsid w:val="0025435C"/>
    <w:rsid w:val="00254371"/>
    <w:rsid w:val="0025585A"/>
    <w:rsid w:val="00256233"/>
    <w:rsid w:val="0025737C"/>
    <w:rsid w:val="002573AC"/>
    <w:rsid w:val="00260548"/>
    <w:rsid w:val="00260640"/>
    <w:rsid w:val="0026123F"/>
    <w:rsid w:val="00261596"/>
    <w:rsid w:val="00264C31"/>
    <w:rsid w:val="00265280"/>
    <w:rsid w:val="00265A33"/>
    <w:rsid w:val="0026609F"/>
    <w:rsid w:val="002661BC"/>
    <w:rsid w:val="00266BD4"/>
    <w:rsid w:val="002673C4"/>
    <w:rsid w:val="00267AD8"/>
    <w:rsid w:val="00267BD6"/>
    <w:rsid w:val="00267E4F"/>
    <w:rsid w:val="00270A4A"/>
    <w:rsid w:val="0027264B"/>
    <w:rsid w:val="002729BF"/>
    <w:rsid w:val="00273299"/>
    <w:rsid w:val="00273DAB"/>
    <w:rsid w:val="00276C28"/>
    <w:rsid w:val="00276EDD"/>
    <w:rsid w:val="0027778E"/>
    <w:rsid w:val="002777BB"/>
    <w:rsid w:val="00277B28"/>
    <w:rsid w:val="002809D4"/>
    <w:rsid w:val="00280C8B"/>
    <w:rsid w:val="00281295"/>
    <w:rsid w:val="002826A2"/>
    <w:rsid w:val="00282832"/>
    <w:rsid w:val="00282B12"/>
    <w:rsid w:val="0028366E"/>
    <w:rsid w:val="00283D20"/>
    <w:rsid w:val="00285167"/>
    <w:rsid w:val="002852CE"/>
    <w:rsid w:val="00285551"/>
    <w:rsid w:val="00286739"/>
    <w:rsid w:val="00286F3F"/>
    <w:rsid w:val="00287467"/>
    <w:rsid w:val="002875B2"/>
    <w:rsid w:val="002901C9"/>
    <w:rsid w:val="0029143C"/>
    <w:rsid w:val="0029175E"/>
    <w:rsid w:val="00291A36"/>
    <w:rsid w:val="00292C8C"/>
    <w:rsid w:val="00292E73"/>
    <w:rsid w:val="0029326A"/>
    <w:rsid w:val="002932B4"/>
    <w:rsid w:val="00293A81"/>
    <w:rsid w:val="00294236"/>
    <w:rsid w:val="00295591"/>
    <w:rsid w:val="00296116"/>
    <w:rsid w:val="00296A25"/>
    <w:rsid w:val="00296B12"/>
    <w:rsid w:val="00296BDF"/>
    <w:rsid w:val="00296CF3"/>
    <w:rsid w:val="00296EE4"/>
    <w:rsid w:val="00297054"/>
    <w:rsid w:val="00297D23"/>
    <w:rsid w:val="00297DCC"/>
    <w:rsid w:val="002A013F"/>
    <w:rsid w:val="002A0BA0"/>
    <w:rsid w:val="002A189E"/>
    <w:rsid w:val="002A1D7C"/>
    <w:rsid w:val="002A4363"/>
    <w:rsid w:val="002A4866"/>
    <w:rsid w:val="002A4A5A"/>
    <w:rsid w:val="002A66CB"/>
    <w:rsid w:val="002A680D"/>
    <w:rsid w:val="002A6FBB"/>
    <w:rsid w:val="002A730B"/>
    <w:rsid w:val="002A76BD"/>
    <w:rsid w:val="002B22C9"/>
    <w:rsid w:val="002B2921"/>
    <w:rsid w:val="002B3016"/>
    <w:rsid w:val="002B370E"/>
    <w:rsid w:val="002B4D8B"/>
    <w:rsid w:val="002B4EDE"/>
    <w:rsid w:val="002B52F5"/>
    <w:rsid w:val="002B6407"/>
    <w:rsid w:val="002B68A5"/>
    <w:rsid w:val="002B6CC1"/>
    <w:rsid w:val="002B7141"/>
    <w:rsid w:val="002B78DD"/>
    <w:rsid w:val="002B7CE9"/>
    <w:rsid w:val="002B7E10"/>
    <w:rsid w:val="002C1016"/>
    <w:rsid w:val="002C2AD5"/>
    <w:rsid w:val="002C3343"/>
    <w:rsid w:val="002C3344"/>
    <w:rsid w:val="002C3EFA"/>
    <w:rsid w:val="002C4B11"/>
    <w:rsid w:val="002C52B2"/>
    <w:rsid w:val="002C5506"/>
    <w:rsid w:val="002C6EDC"/>
    <w:rsid w:val="002C706C"/>
    <w:rsid w:val="002C74C5"/>
    <w:rsid w:val="002C788C"/>
    <w:rsid w:val="002D0607"/>
    <w:rsid w:val="002D0B7B"/>
    <w:rsid w:val="002D0EEF"/>
    <w:rsid w:val="002D165F"/>
    <w:rsid w:val="002D258F"/>
    <w:rsid w:val="002D39F5"/>
    <w:rsid w:val="002D40A7"/>
    <w:rsid w:val="002D4709"/>
    <w:rsid w:val="002D4ACD"/>
    <w:rsid w:val="002D4DD8"/>
    <w:rsid w:val="002D566A"/>
    <w:rsid w:val="002D5C26"/>
    <w:rsid w:val="002D62FC"/>
    <w:rsid w:val="002D65F6"/>
    <w:rsid w:val="002D6A16"/>
    <w:rsid w:val="002D6EAC"/>
    <w:rsid w:val="002D7875"/>
    <w:rsid w:val="002D7ADE"/>
    <w:rsid w:val="002D7F4A"/>
    <w:rsid w:val="002E0652"/>
    <w:rsid w:val="002E0A05"/>
    <w:rsid w:val="002E193B"/>
    <w:rsid w:val="002E1A6E"/>
    <w:rsid w:val="002E2508"/>
    <w:rsid w:val="002E37EA"/>
    <w:rsid w:val="002E38E4"/>
    <w:rsid w:val="002E4196"/>
    <w:rsid w:val="002E4455"/>
    <w:rsid w:val="002E4ED0"/>
    <w:rsid w:val="002E536D"/>
    <w:rsid w:val="002E57E3"/>
    <w:rsid w:val="002E5D69"/>
    <w:rsid w:val="002E6291"/>
    <w:rsid w:val="002E674B"/>
    <w:rsid w:val="002E76D9"/>
    <w:rsid w:val="002F0168"/>
    <w:rsid w:val="002F0314"/>
    <w:rsid w:val="002F0D07"/>
    <w:rsid w:val="002F1787"/>
    <w:rsid w:val="002F3F27"/>
    <w:rsid w:val="002F4094"/>
    <w:rsid w:val="002F491A"/>
    <w:rsid w:val="002F4D63"/>
    <w:rsid w:val="002F51A9"/>
    <w:rsid w:val="002F53C2"/>
    <w:rsid w:val="002F5787"/>
    <w:rsid w:val="002F63AD"/>
    <w:rsid w:val="00301E5E"/>
    <w:rsid w:val="0030239C"/>
    <w:rsid w:val="00302E84"/>
    <w:rsid w:val="00306EBD"/>
    <w:rsid w:val="00311940"/>
    <w:rsid w:val="00311AAE"/>
    <w:rsid w:val="00311D7F"/>
    <w:rsid w:val="00312C98"/>
    <w:rsid w:val="003137E2"/>
    <w:rsid w:val="003139E4"/>
    <w:rsid w:val="00314734"/>
    <w:rsid w:val="003148FD"/>
    <w:rsid w:val="00314D93"/>
    <w:rsid w:val="003154F1"/>
    <w:rsid w:val="0031666A"/>
    <w:rsid w:val="00316CEF"/>
    <w:rsid w:val="00316F9A"/>
    <w:rsid w:val="003172E5"/>
    <w:rsid w:val="0031740A"/>
    <w:rsid w:val="0031769D"/>
    <w:rsid w:val="003201A8"/>
    <w:rsid w:val="00320C1F"/>
    <w:rsid w:val="00321834"/>
    <w:rsid w:val="00322322"/>
    <w:rsid w:val="00322D1B"/>
    <w:rsid w:val="00322F1C"/>
    <w:rsid w:val="00323DAF"/>
    <w:rsid w:val="003248FB"/>
    <w:rsid w:val="0032566F"/>
    <w:rsid w:val="00325ADD"/>
    <w:rsid w:val="00325E7B"/>
    <w:rsid w:val="0032612D"/>
    <w:rsid w:val="0032711C"/>
    <w:rsid w:val="003271BD"/>
    <w:rsid w:val="0032734C"/>
    <w:rsid w:val="003273E1"/>
    <w:rsid w:val="00327BB2"/>
    <w:rsid w:val="0033060C"/>
    <w:rsid w:val="0033119E"/>
    <w:rsid w:val="0033189A"/>
    <w:rsid w:val="003319BB"/>
    <w:rsid w:val="00331E06"/>
    <w:rsid w:val="00332780"/>
    <w:rsid w:val="00333E48"/>
    <w:rsid w:val="00334342"/>
    <w:rsid w:val="00334997"/>
    <w:rsid w:val="00336E17"/>
    <w:rsid w:val="00336E5C"/>
    <w:rsid w:val="003377C8"/>
    <w:rsid w:val="0033794D"/>
    <w:rsid w:val="00337C61"/>
    <w:rsid w:val="00340416"/>
    <w:rsid w:val="00341C39"/>
    <w:rsid w:val="003433A5"/>
    <w:rsid w:val="0034440F"/>
    <w:rsid w:val="0034471E"/>
    <w:rsid w:val="00345514"/>
    <w:rsid w:val="00345A0D"/>
    <w:rsid w:val="00346742"/>
    <w:rsid w:val="003477DE"/>
    <w:rsid w:val="0035024E"/>
    <w:rsid w:val="00350B15"/>
    <w:rsid w:val="00350C89"/>
    <w:rsid w:val="0035150E"/>
    <w:rsid w:val="00351F48"/>
    <w:rsid w:val="0035206C"/>
    <w:rsid w:val="003522C2"/>
    <w:rsid w:val="00352725"/>
    <w:rsid w:val="0035284D"/>
    <w:rsid w:val="00353868"/>
    <w:rsid w:val="00353E3A"/>
    <w:rsid w:val="00354267"/>
    <w:rsid w:val="00354676"/>
    <w:rsid w:val="00355806"/>
    <w:rsid w:val="00356178"/>
    <w:rsid w:val="003565E6"/>
    <w:rsid w:val="00356ABC"/>
    <w:rsid w:val="00356D2F"/>
    <w:rsid w:val="00356DFC"/>
    <w:rsid w:val="003573AE"/>
    <w:rsid w:val="00357AA6"/>
    <w:rsid w:val="00357CC0"/>
    <w:rsid w:val="00357DDA"/>
    <w:rsid w:val="00361AC4"/>
    <w:rsid w:val="003620C8"/>
    <w:rsid w:val="00362B50"/>
    <w:rsid w:val="00362E0D"/>
    <w:rsid w:val="0036395E"/>
    <w:rsid w:val="003639B6"/>
    <w:rsid w:val="00364F72"/>
    <w:rsid w:val="003660DB"/>
    <w:rsid w:val="003664DD"/>
    <w:rsid w:val="00367035"/>
    <w:rsid w:val="00370173"/>
    <w:rsid w:val="00370473"/>
    <w:rsid w:val="00370504"/>
    <w:rsid w:val="00370AB0"/>
    <w:rsid w:val="00371364"/>
    <w:rsid w:val="0037369C"/>
    <w:rsid w:val="003737C8"/>
    <w:rsid w:val="003743F9"/>
    <w:rsid w:val="003749B5"/>
    <w:rsid w:val="00374E8E"/>
    <w:rsid w:val="00375A2E"/>
    <w:rsid w:val="00376E92"/>
    <w:rsid w:val="003776B9"/>
    <w:rsid w:val="00380723"/>
    <w:rsid w:val="00380C43"/>
    <w:rsid w:val="00381EDB"/>
    <w:rsid w:val="00382428"/>
    <w:rsid w:val="00382477"/>
    <w:rsid w:val="00382704"/>
    <w:rsid w:val="00382AEC"/>
    <w:rsid w:val="0038373D"/>
    <w:rsid w:val="003843F1"/>
    <w:rsid w:val="00384890"/>
    <w:rsid w:val="003858CD"/>
    <w:rsid w:val="003859ED"/>
    <w:rsid w:val="00386331"/>
    <w:rsid w:val="0038698E"/>
    <w:rsid w:val="00386D0F"/>
    <w:rsid w:val="0038736F"/>
    <w:rsid w:val="00387AB3"/>
    <w:rsid w:val="00387B18"/>
    <w:rsid w:val="00387F3D"/>
    <w:rsid w:val="003905D5"/>
    <w:rsid w:val="0039065F"/>
    <w:rsid w:val="00391405"/>
    <w:rsid w:val="00391C3F"/>
    <w:rsid w:val="003927A2"/>
    <w:rsid w:val="00392B2D"/>
    <w:rsid w:val="00392F05"/>
    <w:rsid w:val="00393662"/>
    <w:rsid w:val="003942A2"/>
    <w:rsid w:val="00394391"/>
    <w:rsid w:val="0039471F"/>
    <w:rsid w:val="00394918"/>
    <w:rsid w:val="003951C2"/>
    <w:rsid w:val="003953A0"/>
    <w:rsid w:val="003956DF"/>
    <w:rsid w:val="003960D1"/>
    <w:rsid w:val="003963C3"/>
    <w:rsid w:val="003970CB"/>
    <w:rsid w:val="00397FA1"/>
    <w:rsid w:val="003A2107"/>
    <w:rsid w:val="003A23FE"/>
    <w:rsid w:val="003A3D28"/>
    <w:rsid w:val="003A53D3"/>
    <w:rsid w:val="003A5DF7"/>
    <w:rsid w:val="003A69F2"/>
    <w:rsid w:val="003A6C87"/>
    <w:rsid w:val="003A6E35"/>
    <w:rsid w:val="003A7309"/>
    <w:rsid w:val="003B254C"/>
    <w:rsid w:val="003B33EE"/>
    <w:rsid w:val="003B72BE"/>
    <w:rsid w:val="003B76A8"/>
    <w:rsid w:val="003C1E47"/>
    <w:rsid w:val="003C3B20"/>
    <w:rsid w:val="003C4D5C"/>
    <w:rsid w:val="003C6BDD"/>
    <w:rsid w:val="003C6FFD"/>
    <w:rsid w:val="003C756F"/>
    <w:rsid w:val="003C761E"/>
    <w:rsid w:val="003D03C9"/>
    <w:rsid w:val="003D09EB"/>
    <w:rsid w:val="003D0C0F"/>
    <w:rsid w:val="003D10CF"/>
    <w:rsid w:val="003D13BD"/>
    <w:rsid w:val="003D1718"/>
    <w:rsid w:val="003D1E09"/>
    <w:rsid w:val="003D30A4"/>
    <w:rsid w:val="003D3168"/>
    <w:rsid w:val="003D43B3"/>
    <w:rsid w:val="003D43B4"/>
    <w:rsid w:val="003D4A4D"/>
    <w:rsid w:val="003D5A25"/>
    <w:rsid w:val="003D5B2F"/>
    <w:rsid w:val="003D5E2E"/>
    <w:rsid w:val="003E08CA"/>
    <w:rsid w:val="003E106D"/>
    <w:rsid w:val="003E15A2"/>
    <w:rsid w:val="003E21BD"/>
    <w:rsid w:val="003E2253"/>
    <w:rsid w:val="003E2380"/>
    <w:rsid w:val="003E2690"/>
    <w:rsid w:val="003E3BD6"/>
    <w:rsid w:val="003E3F36"/>
    <w:rsid w:val="003E52C8"/>
    <w:rsid w:val="003E532D"/>
    <w:rsid w:val="003E5ECD"/>
    <w:rsid w:val="003E61D2"/>
    <w:rsid w:val="003E6B06"/>
    <w:rsid w:val="003E6C9D"/>
    <w:rsid w:val="003E7230"/>
    <w:rsid w:val="003E78D2"/>
    <w:rsid w:val="003E79BB"/>
    <w:rsid w:val="003F023E"/>
    <w:rsid w:val="003F04E9"/>
    <w:rsid w:val="003F156E"/>
    <w:rsid w:val="003F36F8"/>
    <w:rsid w:val="003F3F53"/>
    <w:rsid w:val="003F4E36"/>
    <w:rsid w:val="003F5036"/>
    <w:rsid w:val="003F6037"/>
    <w:rsid w:val="003F606E"/>
    <w:rsid w:val="003F667F"/>
    <w:rsid w:val="003F7619"/>
    <w:rsid w:val="00400B42"/>
    <w:rsid w:val="00401C8A"/>
    <w:rsid w:val="00401DFB"/>
    <w:rsid w:val="00401FF6"/>
    <w:rsid w:val="00402208"/>
    <w:rsid w:val="00402488"/>
    <w:rsid w:val="00402677"/>
    <w:rsid w:val="0040344B"/>
    <w:rsid w:val="0040358C"/>
    <w:rsid w:val="00404182"/>
    <w:rsid w:val="004041DC"/>
    <w:rsid w:val="004044E0"/>
    <w:rsid w:val="0040468C"/>
    <w:rsid w:val="0040484C"/>
    <w:rsid w:val="0040498B"/>
    <w:rsid w:val="00404FFA"/>
    <w:rsid w:val="004053F6"/>
    <w:rsid w:val="00405D0C"/>
    <w:rsid w:val="00406983"/>
    <w:rsid w:val="00406F5C"/>
    <w:rsid w:val="004071A1"/>
    <w:rsid w:val="00407D7F"/>
    <w:rsid w:val="004113FC"/>
    <w:rsid w:val="0041161F"/>
    <w:rsid w:val="00411F34"/>
    <w:rsid w:val="004122CF"/>
    <w:rsid w:val="004127BD"/>
    <w:rsid w:val="00412E02"/>
    <w:rsid w:val="0041369D"/>
    <w:rsid w:val="00413F03"/>
    <w:rsid w:val="00415248"/>
    <w:rsid w:val="004154CD"/>
    <w:rsid w:val="00416E1A"/>
    <w:rsid w:val="0041708A"/>
    <w:rsid w:val="00417585"/>
    <w:rsid w:val="0041758A"/>
    <w:rsid w:val="00417F28"/>
    <w:rsid w:val="00420A95"/>
    <w:rsid w:val="00420D0B"/>
    <w:rsid w:val="00421353"/>
    <w:rsid w:val="00421824"/>
    <w:rsid w:val="00422EEF"/>
    <w:rsid w:val="00423CB3"/>
    <w:rsid w:val="00424CF8"/>
    <w:rsid w:val="00424E58"/>
    <w:rsid w:val="00424EAC"/>
    <w:rsid w:val="004255A3"/>
    <w:rsid w:val="004258BC"/>
    <w:rsid w:val="00425F69"/>
    <w:rsid w:val="00426333"/>
    <w:rsid w:val="00426C34"/>
    <w:rsid w:val="00426D31"/>
    <w:rsid w:val="00427473"/>
    <w:rsid w:val="00427E3A"/>
    <w:rsid w:val="004305E4"/>
    <w:rsid w:val="00430E9C"/>
    <w:rsid w:val="00430F5F"/>
    <w:rsid w:val="004325F0"/>
    <w:rsid w:val="00433627"/>
    <w:rsid w:val="0043402F"/>
    <w:rsid w:val="0043468C"/>
    <w:rsid w:val="00434739"/>
    <w:rsid w:val="00434BCE"/>
    <w:rsid w:val="00434C00"/>
    <w:rsid w:val="0043579C"/>
    <w:rsid w:val="0043616F"/>
    <w:rsid w:val="00437006"/>
    <w:rsid w:val="00437688"/>
    <w:rsid w:val="004407CC"/>
    <w:rsid w:val="00440800"/>
    <w:rsid w:val="0044216B"/>
    <w:rsid w:val="00442791"/>
    <w:rsid w:val="00442961"/>
    <w:rsid w:val="00443A49"/>
    <w:rsid w:val="00443D35"/>
    <w:rsid w:val="00443D5C"/>
    <w:rsid w:val="00444438"/>
    <w:rsid w:val="0044463D"/>
    <w:rsid w:val="00444FD7"/>
    <w:rsid w:val="004458CA"/>
    <w:rsid w:val="00445C75"/>
    <w:rsid w:val="004467AC"/>
    <w:rsid w:val="00446B63"/>
    <w:rsid w:val="00446C56"/>
    <w:rsid w:val="0045027F"/>
    <w:rsid w:val="00450281"/>
    <w:rsid w:val="00450369"/>
    <w:rsid w:val="0045095B"/>
    <w:rsid w:val="004510C2"/>
    <w:rsid w:val="00451182"/>
    <w:rsid w:val="0045119A"/>
    <w:rsid w:val="004519A2"/>
    <w:rsid w:val="0045224D"/>
    <w:rsid w:val="00452786"/>
    <w:rsid w:val="00452E79"/>
    <w:rsid w:val="004536B8"/>
    <w:rsid w:val="004542B5"/>
    <w:rsid w:val="00454FD2"/>
    <w:rsid w:val="00455ABC"/>
    <w:rsid w:val="00456E52"/>
    <w:rsid w:val="004571CC"/>
    <w:rsid w:val="0045759F"/>
    <w:rsid w:val="00457B2F"/>
    <w:rsid w:val="004604AD"/>
    <w:rsid w:val="0046055E"/>
    <w:rsid w:val="00460729"/>
    <w:rsid w:val="0046081F"/>
    <w:rsid w:val="00460A7B"/>
    <w:rsid w:val="00460A87"/>
    <w:rsid w:val="00463413"/>
    <w:rsid w:val="00463EA4"/>
    <w:rsid w:val="00465AA9"/>
    <w:rsid w:val="00465F1A"/>
    <w:rsid w:val="00465F47"/>
    <w:rsid w:val="00466510"/>
    <w:rsid w:val="00466C25"/>
    <w:rsid w:val="004675C2"/>
    <w:rsid w:val="0047012A"/>
    <w:rsid w:val="004702E1"/>
    <w:rsid w:val="00470768"/>
    <w:rsid w:val="0047210D"/>
    <w:rsid w:val="00472B0D"/>
    <w:rsid w:val="00472D68"/>
    <w:rsid w:val="00472F70"/>
    <w:rsid w:val="004741A1"/>
    <w:rsid w:val="00474248"/>
    <w:rsid w:val="004749BD"/>
    <w:rsid w:val="0047511D"/>
    <w:rsid w:val="00475EF7"/>
    <w:rsid w:val="004810FB"/>
    <w:rsid w:val="0048369D"/>
    <w:rsid w:val="004838AE"/>
    <w:rsid w:val="00483C60"/>
    <w:rsid w:val="004841AA"/>
    <w:rsid w:val="004842FB"/>
    <w:rsid w:val="00484E4B"/>
    <w:rsid w:val="00485214"/>
    <w:rsid w:val="0048575B"/>
    <w:rsid w:val="00485E39"/>
    <w:rsid w:val="00486603"/>
    <w:rsid w:val="00486609"/>
    <w:rsid w:val="004876A2"/>
    <w:rsid w:val="0049025B"/>
    <w:rsid w:val="00490F81"/>
    <w:rsid w:val="0049165E"/>
    <w:rsid w:val="00491CB1"/>
    <w:rsid w:val="00491F8A"/>
    <w:rsid w:val="00492AF1"/>
    <w:rsid w:val="00493B68"/>
    <w:rsid w:val="00495849"/>
    <w:rsid w:val="004958F7"/>
    <w:rsid w:val="00495C5A"/>
    <w:rsid w:val="0049624A"/>
    <w:rsid w:val="0049630B"/>
    <w:rsid w:val="00496D23"/>
    <w:rsid w:val="004977D3"/>
    <w:rsid w:val="004977DC"/>
    <w:rsid w:val="004A07CE"/>
    <w:rsid w:val="004A1DEF"/>
    <w:rsid w:val="004A42F0"/>
    <w:rsid w:val="004A50C0"/>
    <w:rsid w:val="004A51E9"/>
    <w:rsid w:val="004A69FB"/>
    <w:rsid w:val="004A6BFC"/>
    <w:rsid w:val="004A7235"/>
    <w:rsid w:val="004A75FE"/>
    <w:rsid w:val="004A7BB7"/>
    <w:rsid w:val="004B0A96"/>
    <w:rsid w:val="004B0D14"/>
    <w:rsid w:val="004B0D72"/>
    <w:rsid w:val="004B244E"/>
    <w:rsid w:val="004B291C"/>
    <w:rsid w:val="004B2E36"/>
    <w:rsid w:val="004B3788"/>
    <w:rsid w:val="004B4447"/>
    <w:rsid w:val="004B50D9"/>
    <w:rsid w:val="004B5545"/>
    <w:rsid w:val="004B573E"/>
    <w:rsid w:val="004B6306"/>
    <w:rsid w:val="004B65C7"/>
    <w:rsid w:val="004B6AB4"/>
    <w:rsid w:val="004B70E0"/>
    <w:rsid w:val="004B70F3"/>
    <w:rsid w:val="004B7BC2"/>
    <w:rsid w:val="004C1416"/>
    <w:rsid w:val="004C1C2D"/>
    <w:rsid w:val="004C26CB"/>
    <w:rsid w:val="004C39F2"/>
    <w:rsid w:val="004C443D"/>
    <w:rsid w:val="004C44FA"/>
    <w:rsid w:val="004C5057"/>
    <w:rsid w:val="004C6510"/>
    <w:rsid w:val="004C65C2"/>
    <w:rsid w:val="004C67FD"/>
    <w:rsid w:val="004C6AEC"/>
    <w:rsid w:val="004C7D08"/>
    <w:rsid w:val="004D0239"/>
    <w:rsid w:val="004D0B22"/>
    <w:rsid w:val="004D0CD7"/>
    <w:rsid w:val="004D18E3"/>
    <w:rsid w:val="004D1B60"/>
    <w:rsid w:val="004D21F5"/>
    <w:rsid w:val="004D357E"/>
    <w:rsid w:val="004D3B7E"/>
    <w:rsid w:val="004D3D9C"/>
    <w:rsid w:val="004D3F6B"/>
    <w:rsid w:val="004D457A"/>
    <w:rsid w:val="004D4EF0"/>
    <w:rsid w:val="004D51A5"/>
    <w:rsid w:val="004D5415"/>
    <w:rsid w:val="004D67AB"/>
    <w:rsid w:val="004D6C9C"/>
    <w:rsid w:val="004D7250"/>
    <w:rsid w:val="004D7B57"/>
    <w:rsid w:val="004E1EE1"/>
    <w:rsid w:val="004E2364"/>
    <w:rsid w:val="004E3290"/>
    <w:rsid w:val="004E3875"/>
    <w:rsid w:val="004E5167"/>
    <w:rsid w:val="004E5BA4"/>
    <w:rsid w:val="004E6483"/>
    <w:rsid w:val="004E6654"/>
    <w:rsid w:val="004E6C6B"/>
    <w:rsid w:val="004E7813"/>
    <w:rsid w:val="004E78DB"/>
    <w:rsid w:val="004F0D4A"/>
    <w:rsid w:val="004F0F92"/>
    <w:rsid w:val="004F3DC5"/>
    <w:rsid w:val="004F544E"/>
    <w:rsid w:val="004F6678"/>
    <w:rsid w:val="004F6D83"/>
    <w:rsid w:val="004F7814"/>
    <w:rsid w:val="00500898"/>
    <w:rsid w:val="00501C5F"/>
    <w:rsid w:val="005037E4"/>
    <w:rsid w:val="00503878"/>
    <w:rsid w:val="005047FC"/>
    <w:rsid w:val="00504963"/>
    <w:rsid w:val="00505E95"/>
    <w:rsid w:val="00506B9A"/>
    <w:rsid w:val="0050751C"/>
    <w:rsid w:val="0050790D"/>
    <w:rsid w:val="005106C5"/>
    <w:rsid w:val="00510E2A"/>
    <w:rsid w:val="00511112"/>
    <w:rsid w:val="0051180F"/>
    <w:rsid w:val="00511837"/>
    <w:rsid w:val="00511FEE"/>
    <w:rsid w:val="0051337A"/>
    <w:rsid w:val="0051431A"/>
    <w:rsid w:val="00514B99"/>
    <w:rsid w:val="00515AB0"/>
    <w:rsid w:val="00516D39"/>
    <w:rsid w:val="00516FC2"/>
    <w:rsid w:val="00517318"/>
    <w:rsid w:val="0051738E"/>
    <w:rsid w:val="00517845"/>
    <w:rsid w:val="00517ECD"/>
    <w:rsid w:val="00520145"/>
    <w:rsid w:val="00520486"/>
    <w:rsid w:val="00520968"/>
    <w:rsid w:val="005216E1"/>
    <w:rsid w:val="00522EDC"/>
    <w:rsid w:val="00523A01"/>
    <w:rsid w:val="00523F64"/>
    <w:rsid w:val="005240D9"/>
    <w:rsid w:val="005242FC"/>
    <w:rsid w:val="00524552"/>
    <w:rsid w:val="0052492E"/>
    <w:rsid w:val="00524D59"/>
    <w:rsid w:val="00524EC8"/>
    <w:rsid w:val="005257C1"/>
    <w:rsid w:val="005257D2"/>
    <w:rsid w:val="00526081"/>
    <w:rsid w:val="00526FF1"/>
    <w:rsid w:val="005274F9"/>
    <w:rsid w:val="00527731"/>
    <w:rsid w:val="0052786F"/>
    <w:rsid w:val="005279B5"/>
    <w:rsid w:val="00530122"/>
    <w:rsid w:val="0053033E"/>
    <w:rsid w:val="00530706"/>
    <w:rsid w:val="00530E9C"/>
    <w:rsid w:val="00530F08"/>
    <w:rsid w:val="005316E9"/>
    <w:rsid w:val="00532DA0"/>
    <w:rsid w:val="00533345"/>
    <w:rsid w:val="005339E7"/>
    <w:rsid w:val="00534396"/>
    <w:rsid w:val="005347F9"/>
    <w:rsid w:val="005354AC"/>
    <w:rsid w:val="00535B95"/>
    <w:rsid w:val="00535C4C"/>
    <w:rsid w:val="00536D2E"/>
    <w:rsid w:val="00537CD5"/>
    <w:rsid w:val="00537FAD"/>
    <w:rsid w:val="00540218"/>
    <w:rsid w:val="005408CF"/>
    <w:rsid w:val="0054105C"/>
    <w:rsid w:val="00541090"/>
    <w:rsid w:val="0054146F"/>
    <w:rsid w:val="00541B50"/>
    <w:rsid w:val="005424F8"/>
    <w:rsid w:val="005430B0"/>
    <w:rsid w:val="00543106"/>
    <w:rsid w:val="00543361"/>
    <w:rsid w:val="005436B3"/>
    <w:rsid w:val="00543B44"/>
    <w:rsid w:val="00543FAD"/>
    <w:rsid w:val="00543FC0"/>
    <w:rsid w:val="00544E5D"/>
    <w:rsid w:val="005450E3"/>
    <w:rsid w:val="00545C2F"/>
    <w:rsid w:val="00545D04"/>
    <w:rsid w:val="00546330"/>
    <w:rsid w:val="00546686"/>
    <w:rsid w:val="00546FE0"/>
    <w:rsid w:val="005507C7"/>
    <w:rsid w:val="00550818"/>
    <w:rsid w:val="00550DC6"/>
    <w:rsid w:val="005510AB"/>
    <w:rsid w:val="005517FC"/>
    <w:rsid w:val="005522CE"/>
    <w:rsid w:val="00552465"/>
    <w:rsid w:val="00552E5D"/>
    <w:rsid w:val="0055340F"/>
    <w:rsid w:val="0055433D"/>
    <w:rsid w:val="00554F55"/>
    <w:rsid w:val="0055648F"/>
    <w:rsid w:val="00556E3A"/>
    <w:rsid w:val="0055701E"/>
    <w:rsid w:val="005579B4"/>
    <w:rsid w:val="00557BF1"/>
    <w:rsid w:val="0056067D"/>
    <w:rsid w:val="00560EBA"/>
    <w:rsid w:val="00561FCF"/>
    <w:rsid w:val="00562215"/>
    <w:rsid w:val="00562D5A"/>
    <w:rsid w:val="005638D7"/>
    <w:rsid w:val="005649CD"/>
    <w:rsid w:val="00564F01"/>
    <w:rsid w:val="005659B6"/>
    <w:rsid w:val="00565DD9"/>
    <w:rsid w:val="00566978"/>
    <w:rsid w:val="00567380"/>
    <w:rsid w:val="005677E7"/>
    <w:rsid w:val="005700D5"/>
    <w:rsid w:val="005700FD"/>
    <w:rsid w:val="005703A7"/>
    <w:rsid w:val="005709E8"/>
    <w:rsid w:val="00570C55"/>
    <w:rsid w:val="0057177A"/>
    <w:rsid w:val="00572B45"/>
    <w:rsid w:val="00573C36"/>
    <w:rsid w:val="00573FF2"/>
    <w:rsid w:val="0057624E"/>
    <w:rsid w:val="00576A20"/>
    <w:rsid w:val="00577465"/>
    <w:rsid w:val="00577A43"/>
    <w:rsid w:val="00577FAF"/>
    <w:rsid w:val="0058116F"/>
    <w:rsid w:val="00582052"/>
    <w:rsid w:val="00582956"/>
    <w:rsid w:val="00584247"/>
    <w:rsid w:val="00584654"/>
    <w:rsid w:val="005847BF"/>
    <w:rsid w:val="005853E5"/>
    <w:rsid w:val="00585E31"/>
    <w:rsid w:val="00586365"/>
    <w:rsid w:val="005863B9"/>
    <w:rsid w:val="005865C6"/>
    <w:rsid w:val="005904E1"/>
    <w:rsid w:val="0059080E"/>
    <w:rsid w:val="005909B4"/>
    <w:rsid w:val="0059137A"/>
    <w:rsid w:val="005913EB"/>
    <w:rsid w:val="00591459"/>
    <w:rsid w:val="00593224"/>
    <w:rsid w:val="00593721"/>
    <w:rsid w:val="00593829"/>
    <w:rsid w:val="00593FB5"/>
    <w:rsid w:val="00594C28"/>
    <w:rsid w:val="0059507D"/>
    <w:rsid w:val="0059552A"/>
    <w:rsid w:val="00595682"/>
    <w:rsid w:val="00595F32"/>
    <w:rsid w:val="00596A01"/>
    <w:rsid w:val="005A02B2"/>
    <w:rsid w:val="005A0416"/>
    <w:rsid w:val="005A0945"/>
    <w:rsid w:val="005A0AFC"/>
    <w:rsid w:val="005A15DD"/>
    <w:rsid w:val="005A2A01"/>
    <w:rsid w:val="005A308C"/>
    <w:rsid w:val="005A4865"/>
    <w:rsid w:val="005A60A8"/>
    <w:rsid w:val="005A61AA"/>
    <w:rsid w:val="005A6315"/>
    <w:rsid w:val="005A700F"/>
    <w:rsid w:val="005A7B55"/>
    <w:rsid w:val="005B080C"/>
    <w:rsid w:val="005B0F4C"/>
    <w:rsid w:val="005B35CB"/>
    <w:rsid w:val="005B3CC1"/>
    <w:rsid w:val="005B3FFC"/>
    <w:rsid w:val="005B43DC"/>
    <w:rsid w:val="005B5ECF"/>
    <w:rsid w:val="005B6DB5"/>
    <w:rsid w:val="005B720E"/>
    <w:rsid w:val="005B7326"/>
    <w:rsid w:val="005B7EA6"/>
    <w:rsid w:val="005C0C4D"/>
    <w:rsid w:val="005C1451"/>
    <w:rsid w:val="005C17D5"/>
    <w:rsid w:val="005C1B16"/>
    <w:rsid w:val="005C1BB1"/>
    <w:rsid w:val="005C2ED3"/>
    <w:rsid w:val="005C3B40"/>
    <w:rsid w:val="005C4541"/>
    <w:rsid w:val="005C4566"/>
    <w:rsid w:val="005C495C"/>
    <w:rsid w:val="005C52C9"/>
    <w:rsid w:val="005C6DF9"/>
    <w:rsid w:val="005C791E"/>
    <w:rsid w:val="005C7E1D"/>
    <w:rsid w:val="005C7F3E"/>
    <w:rsid w:val="005D061E"/>
    <w:rsid w:val="005D09B8"/>
    <w:rsid w:val="005D0BDE"/>
    <w:rsid w:val="005D15E9"/>
    <w:rsid w:val="005D1CFA"/>
    <w:rsid w:val="005D2283"/>
    <w:rsid w:val="005D2782"/>
    <w:rsid w:val="005D2841"/>
    <w:rsid w:val="005D2AC6"/>
    <w:rsid w:val="005D3F9F"/>
    <w:rsid w:val="005D43C6"/>
    <w:rsid w:val="005D465E"/>
    <w:rsid w:val="005D494F"/>
    <w:rsid w:val="005D4AF0"/>
    <w:rsid w:val="005D5981"/>
    <w:rsid w:val="005D6347"/>
    <w:rsid w:val="005D6AE6"/>
    <w:rsid w:val="005D6CAC"/>
    <w:rsid w:val="005D6D01"/>
    <w:rsid w:val="005D70D7"/>
    <w:rsid w:val="005D7AF3"/>
    <w:rsid w:val="005E0760"/>
    <w:rsid w:val="005E0C27"/>
    <w:rsid w:val="005E0D2C"/>
    <w:rsid w:val="005E0DE2"/>
    <w:rsid w:val="005E11B5"/>
    <w:rsid w:val="005E12AA"/>
    <w:rsid w:val="005E1707"/>
    <w:rsid w:val="005E2BB1"/>
    <w:rsid w:val="005E4863"/>
    <w:rsid w:val="005E4E44"/>
    <w:rsid w:val="005E5B7F"/>
    <w:rsid w:val="005E65BF"/>
    <w:rsid w:val="005E65D9"/>
    <w:rsid w:val="005E65E8"/>
    <w:rsid w:val="005E6E5B"/>
    <w:rsid w:val="005E7A18"/>
    <w:rsid w:val="005F05DB"/>
    <w:rsid w:val="005F0A75"/>
    <w:rsid w:val="005F1CAB"/>
    <w:rsid w:val="005F1DB9"/>
    <w:rsid w:val="005F43C4"/>
    <w:rsid w:val="005F4538"/>
    <w:rsid w:val="005F491D"/>
    <w:rsid w:val="005F4CE8"/>
    <w:rsid w:val="005F5233"/>
    <w:rsid w:val="005F6441"/>
    <w:rsid w:val="005F7635"/>
    <w:rsid w:val="00600357"/>
    <w:rsid w:val="00600738"/>
    <w:rsid w:val="0060100E"/>
    <w:rsid w:val="0060155A"/>
    <w:rsid w:val="00601848"/>
    <w:rsid w:val="00601862"/>
    <w:rsid w:val="00601FE8"/>
    <w:rsid w:val="00602C13"/>
    <w:rsid w:val="006038E1"/>
    <w:rsid w:val="00603FB6"/>
    <w:rsid w:val="0060510D"/>
    <w:rsid w:val="00605855"/>
    <w:rsid w:val="00606AF7"/>
    <w:rsid w:val="00606C25"/>
    <w:rsid w:val="0060744A"/>
    <w:rsid w:val="00607B38"/>
    <w:rsid w:val="00607F60"/>
    <w:rsid w:val="0061182F"/>
    <w:rsid w:val="006122DE"/>
    <w:rsid w:val="00612445"/>
    <w:rsid w:val="0061244D"/>
    <w:rsid w:val="00613158"/>
    <w:rsid w:val="006134ED"/>
    <w:rsid w:val="00613863"/>
    <w:rsid w:val="0061511C"/>
    <w:rsid w:val="00617B58"/>
    <w:rsid w:val="00617F8B"/>
    <w:rsid w:val="00621F20"/>
    <w:rsid w:val="00622160"/>
    <w:rsid w:val="00622381"/>
    <w:rsid w:val="006224E4"/>
    <w:rsid w:val="006225E8"/>
    <w:rsid w:val="00622E2A"/>
    <w:rsid w:val="006230DB"/>
    <w:rsid w:val="00623825"/>
    <w:rsid w:val="0062443A"/>
    <w:rsid w:val="00624899"/>
    <w:rsid w:val="00624D8E"/>
    <w:rsid w:val="00624EFD"/>
    <w:rsid w:val="00625380"/>
    <w:rsid w:val="006264EC"/>
    <w:rsid w:val="0063068F"/>
    <w:rsid w:val="0063082A"/>
    <w:rsid w:val="00630A06"/>
    <w:rsid w:val="0063168E"/>
    <w:rsid w:val="00631DC8"/>
    <w:rsid w:val="00632BA5"/>
    <w:rsid w:val="00633370"/>
    <w:rsid w:val="006334E7"/>
    <w:rsid w:val="00633C06"/>
    <w:rsid w:val="0063466C"/>
    <w:rsid w:val="00634BFA"/>
    <w:rsid w:val="00635062"/>
    <w:rsid w:val="00637716"/>
    <w:rsid w:val="00642178"/>
    <w:rsid w:val="00642B31"/>
    <w:rsid w:val="00643B20"/>
    <w:rsid w:val="00645311"/>
    <w:rsid w:val="00645688"/>
    <w:rsid w:val="006459C5"/>
    <w:rsid w:val="00645F01"/>
    <w:rsid w:val="0064630F"/>
    <w:rsid w:val="00646638"/>
    <w:rsid w:val="00647464"/>
    <w:rsid w:val="00647555"/>
    <w:rsid w:val="006507EF"/>
    <w:rsid w:val="00651A8C"/>
    <w:rsid w:val="00653411"/>
    <w:rsid w:val="0065394D"/>
    <w:rsid w:val="006540D7"/>
    <w:rsid w:val="00654311"/>
    <w:rsid w:val="00654735"/>
    <w:rsid w:val="006548FC"/>
    <w:rsid w:val="0065499E"/>
    <w:rsid w:val="0065548C"/>
    <w:rsid w:val="00656DF0"/>
    <w:rsid w:val="00657C92"/>
    <w:rsid w:val="00660E64"/>
    <w:rsid w:val="00661497"/>
    <w:rsid w:val="00661830"/>
    <w:rsid w:val="006622E3"/>
    <w:rsid w:val="0066279E"/>
    <w:rsid w:val="00665D40"/>
    <w:rsid w:val="00666EE8"/>
    <w:rsid w:val="00667948"/>
    <w:rsid w:val="006701DF"/>
    <w:rsid w:val="00671019"/>
    <w:rsid w:val="006715C8"/>
    <w:rsid w:val="00671996"/>
    <w:rsid w:val="006725F0"/>
    <w:rsid w:val="006729D9"/>
    <w:rsid w:val="00672B21"/>
    <w:rsid w:val="00673007"/>
    <w:rsid w:val="006739C4"/>
    <w:rsid w:val="0067474F"/>
    <w:rsid w:val="0067518E"/>
    <w:rsid w:val="00675EAD"/>
    <w:rsid w:val="006765B7"/>
    <w:rsid w:val="00676727"/>
    <w:rsid w:val="006769D7"/>
    <w:rsid w:val="0067758A"/>
    <w:rsid w:val="0067762C"/>
    <w:rsid w:val="00680094"/>
    <w:rsid w:val="00680687"/>
    <w:rsid w:val="00680944"/>
    <w:rsid w:val="006809B5"/>
    <w:rsid w:val="00680EB5"/>
    <w:rsid w:val="0068216F"/>
    <w:rsid w:val="006821F8"/>
    <w:rsid w:val="00682762"/>
    <w:rsid w:val="00682B40"/>
    <w:rsid w:val="0068385F"/>
    <w:rsid w:val="00683E94"/>
    <w:rsid w:val="00684559"/>
    <w:rsid w:val="0068497F"/>
    <w:rsid w:val="00684AFF"/>
    <w:rsid w:val="00684BC7"/>
    <w:rsid w:val="006859AB"/>
    <w:rsid w:val="00686261"/>
    <w:rsid w:val="00686F88"/>
    <w:rsid w:val="00687642"/>
    <w:rsid w:val="006877FC"/>
    <w:rsid w:val="00687852"/>
    <w:rsid w:val="00687B7E"/>
    <w:rsid w:val="006900B5"/>
    <w:rsid w:val="006909AB"/>
    <w:rsid w:val="0069176B"/>
    <w:rsid w:val="00692561"/>
    <w:rsid w:val="0069357C"/>
    <w:rsid w:val="00693805"/>
    <w:rsid w:val="00693CC5"/>
    <w:rsid w:val="0069462F"/>
    <w:rsid w:val="00694801"/>
    <w:rsid w:val="0069482E"/>
    <w:rsid w:val="00695C1F"/>
    <w:rsid w:val="00695E25"/>
    <w:rsid w:val="0069607F"/>
    <w:rsid w:val="006960E9"/>
    <w:rsid w:val="00696612"/>
    <w:rsid w:val="00697F8C"/>
    <w:rsid w:val="006A0539"/>
    <w:rsid w:val="006A0691"/>
    <w:rsid w:val="006A074B"/>
    <w:rsid w:val="006A0AD3"/>
    <w:rsid w:val="006A1BE7"/>
    <w:rsid w:val="006A1C04"/>
    <w:rsid w:val="006A36F9"/>
    <w:rsid w:val="006A3B4C"/>
    <w:rsid w:val="006A3D52"/>
    <w:rsid w:val="006A424B"/>
    <w:rsid w:val="006A4E72"/>
    <w:rsid w:val="006A5287"/>
    <w:rsid w:val="006A5527"/>
    <w:rsid w:val="006A6AB1"/>
    <w:rsid w:val="006A7719"/>
    <w:rsid w:val="006A7BEE"/>
    <w:rsid w:val="006A7D36"/>
    <w:rsid w:val="006B0167"/>
    <w:rsid w:val="006B1128"/>
    <w:rsid w:val="006B120F"/>
    <w:rsid w:val="006B2CAD"/>
    <w:rsid w:val="006B2F0A"/>
    <w:rsid w:val="006B3966"/>
    <w:rsid w:val="006B3FDD"/>
    <w:rsid w:val="006B5799"/>
    <w:rsid w:val="006B6048"/>
    <w:rsid w:val="006B6203"/>
    <w:rsid w:val="006B6C05"/>
    <w:rsid w:val="006B6FC1"/>
    <w:rsid w:val="006B73CE"/>
    <w:rsid w:val="006C08A7"/>
    <w:rsid w:val="006C094C"/>
    <w:rsid w:val="006C1232"/>
    <w:rsid w:val="006C185A"/>
    <w:rsid w:val="006C1988"/>
    <w:rsid w:val="006C1E49"/>
    <w:rsid w:val="006C2335"/>
    <w:rsid w:val="006C4473"/>
    <w:rsid w:val="006C4C44"/>
    <w:rsid w:val="006C5300"/>
    <w:rsid w:val="006C5494"/>
    <w:rsid w:val="006C599C"/>
    <w:rsid w:val="006C739A"/>
    <w:rsid w:val="006C77A5"/>
    <w:rsid w:val="006D063C"/>
    <w:rsid w:val="006D186B"/>
    <w:rsid w:val="006D1D51"/>
    <w:rsid w:val="006D1FC0"/>
    <w:rsid w:val="006D2969"/>
    <w:rsid w:val="006D34B0"/>
    <w:rsid w:val="006D36D0"/>
    <w:rsid w:val="006D47C6"/>
    <w:rsid w:val="006D4DAD"/>
    <w:rsid w:val="006D5029"/>
    <w:rsid w:val="006D6456"/>
    <w:rsid w:val="006D66FE"/>
    <w:rsid w:val="006D7E6A"/>
    <w:rsid w:val="006D7FAE"/>
    <w:rsid w:val="006E0470"/>
    <w:rsid w:val="006E0555"/>
    <w:rsid w:val="006E05F6"/>
    <w:rsid w:val="006E09FB"/>
    <w:rsid w:val="006E20CC"/>
    <w:rsid w:val="006E20CF"/>
    <w:rsid w:val="006E2428"/>
    <w:rsid w:val="006E2CBC"/>
    <w:rsid w:val="006E2FAE"/>
    <w:rsid w:val="006E3A64"/>
    <w:rsid w:val="006E4060"/>
    <w:rsid w:val="006E4770"/>
    <w:rsid w:val="006E581B"/>
    <w:rsid w:val="006E59E2"/>
    <w:rsid w:val="006E5C2D"/>
    <w:rsid w:val="006E64D5"/>
    <w:rsid w:val="006E7990"/>
    <w:rsid w:val="006E7B55"/>
    <w:rsid w:val="006F0C58"/>
    <w:rsid w:val="006F1CFC"/>
    <w:rsid w:val="006F2030"/>
    <w:rsid w:val="006F2266"/>
    <w:rsid w:val="006F2605"/>
    <w:rsid w:val="006F280A"/>
    <w:rsid w:val="006F29B8"/>
    <w:rsid w:val="006F3091"/>
    <w:rsid w:val="006F44FB"/>
    <w:rsid w:val="006F4ACD"/>
    <w:rsid w:val="006F536C"/>
    <w:rsid w:val="006F57B6"/>
    <w:rsid w:val="006F5D69"/>
    <w:rsid w:val="006F5EE5"/>
    <w:rsid w:val="006F67A4"/>
    <w:rsid w:val="006F758A"/>
    <w:rsid w:val="006F78D4"/>
    <w:rsid w:val="006F7F20"/>
    <w:rsid w:val="007007D4"/>
    <w:rsid w:val="00700AF2"/>
    <w:rsid w:val="0070121D"/>
    <w:rsid w:val="007014CE"/>
    <w:rsid w:val="007017C5"/>
    <w:rsid w:val="00701E4D"/>
    <w:rsid w:val="007026FF"/>
    <w:rsid w:val="00702ADB"/>
    <w:rsid w:val="00702B09"/>
    <w:rsid w:val="00702B93"/>
    <w:rsid w:val="007034C6"/>
    <w:rsid w:val="00703CFE"/>
    <w:rsid w:val="00703ED7"/>
    <w:rsid w:val="00705402"/>
    <w:rsid w:val="00705C17"/>
    <w:rsid w:val="0070601C"/>
    <w:rsid w:val="007068E7"/>
    <w:rsid w:val="00706C64"/>
    <w:rsid w:val="00707BF1"/>
    <w:rsid w:val="00707D05"/>
    <w:rsid w:val="00710D11"/>
    <w:rsid w:val="007110C4"/>
    <w:rsid w:val="0071192D"/>
    <w:rsid w:val="00711DBA"/>
    <w:rsid w:val="00712095"/>
    <w:rsid w:val="00712335"/>
    <w:rsid w:val="00712752"/>
    <w:rsid w:val="00712897"/>
    <w:rsid w:val="00712ADB"/>
    <w:rsid w:val="00712F4C"/>
    <w:rsid w:val="0071337F"/>
    <w:rsid w:val="0071363F"/>
    <w:rsid w:val="007138DD"/>
    <w:rsid w:val="007140F3"/>
    <w:rsid w:val="0071481C"/>
    <w:rsid w:val="0071759B"/>
    <w:rsid w:val="00717ADB"/>
    <w:rsid w:val="00720589"/>
    <w:rsid w:val="007208E1"/>
    <w:rsid w:val="00720CF6"/>
    <w:rsid w:val="00722200"/>
    <w:rsid w:val="00722EB5"/>
    <w:rsid w:val="0072363A"/>
    <w:rsid w:val="00723E91"/>
    <w:rsid w:val="0072492E"/>
    <w:rsid w:val="00725462"/>
    <w:rsid w:val="007259CB"/>
    <w:rsid w:val="00725B7A"/>
    <w:rsid w:val="00725BA5"/>
    <w:rsid w:val="00726063"/>
    <w:rsid w:val="00726131"/>
    <w:rsid w:val="007261B1"/>
    <w:rsid w:val="00726A47"/>
    <w:rsid w:val="00726FAD"/>
    <w:rsid w:val="00727EA5"/>
    <w:rsid w:val="00733ACA"/>
    <w:rsid w:val="007340C5"/>
    <w:rsid w:val="007354C4"/>
    <w:rsid w:val="00735554"/>
    <w:rsid w:val="00736C0B"/>
    <w:rsid w:val="00736EF6"/>
    <w:rsid w:val="00737047"/>
    <w:rsid w:val="00737417"/>
    <w:rsid w:val="007377DD"/>
    <w:rsid w:val="00740093"/>
    <w:rsid w:val="0074095C"/>
    <w:rsid w:val="00741570"/>
    <w:rsid w:val="00742702"/>
    <w:rsid w:val="007427A7"/>
    <w:rsid w:val="00742F0A"/>
    <w:rsid w:val="007432AD"/>
    <w:rsid w:val="00743465"/>
    <w:rsid w:val="00743599"/>
    <w:rsid w:val="00743A95"/>
    <w:rsid w:val="00744681"/>
    <w:rsid w:val="00745797"/>
    <w:rsid w:val="00745D47"/>
    <w:rsid w:val="00746C0C"/>
    <w:rsid w:val="0075050D"/>
    <w:rsid w:val="0075070A"/>
    <w:rsid w:val="00750AF1"/>
    <w:rsid w:val="00752DBD"/>
    <w:rsid w:val="00753101"/>
    <w:rsid w:val="00755F4C"/>
    <w:rsid w:val="00756D54"/>
    <w:rsid w:val="007578F4"/>
    <w:rsid w:val="00757D80"/>
    <w:rsid w:val="00760132"/>
    <w:rsid w:val="0076334A"/>
    <w:rsid w:val="0076351E"/>
    <w:rsid w:val="00763558"/>
    <w:rsid w:val="00763743"/>
    <w:rsid w:val="0076380D"/>
    <w:rsid w:val="007640A2"/>
    <w:rsid w:val="00764123"/>
    <w:rsid w:val="00764189"/>
    <w:rsid w:val="00765310"/>
    <w:rsid w:val="00766475"/>
    <w:rsid w:val="007679E7"/>
    <w:rsid w:val="00770BEA"/>
    <w:rsid w:val="00772CBC"/>
    <w:rsid w:val="0077426F"/>
    <w:rsid w:val="00774EAC"/>
    <w:rsid w:val="00775DAC"/>
    <w:rsid w:val="00775DF4"/>
    <w:rsid w:val="00777778"/>
    <w:rsid w:val="00777CD3"/>
    <w:rsid w:val="00777D57"/>
    <w:rsid w:val="00777D6E"/>
    <w:rsid w:val="00781315"/>
    <w:rsid w:val="007815B2"/>
    <w:rsid w:val="00782928"/>
    <w:rsid w:val="00782B23"/>
    <w:rsid w:val="00782E50"/>
    <w:rsid w:val="007843F0"/>
    <w:rsid w:val="0078468D"/>
    <w:rsid w:val="0078502A"/>
    <w:rsid w:val="007857D2"/>
    <w:rsid w:val="00785D31"/>
    <w:rsid w:val="0078699E"/>
    <w:rsid w:val="00786DA9"/>
    <w:rsid w:val="007879E3"/>
    <w:rsid w:val="00787F03"/>
    <w:rsid w:val="007904B1"/>
    <w:rsid w:val="00790B79"/>
    <w:rsid w:val="00791370"/>
    <w:rsid w:val="007923AB"/>
    <w:rsid w:val="00792612"/>
    <w:rsid w:val="00792B14"/>
    <w:rsid w:val="00792D34"/>
    <w:rsid w:val="00793938"/>
    <w:rsid w:val="00793D2C"/>
    <w:rsid w:val="007941FB"/>
    <w:rsid w:val="00794204"/>
    <w:rsid w:val="00795E5F"/>
    <w:rsid w:val="00796220"/>
    <w:rsid w:val="0079640D"/>
    <w:rsid w:val="0079772D"/>
    <w:rsid w:val="007A0F05"/>
    <w:rsid w:val="007A0F56"/>
    <w:rsid w:val="007A17C0"/>
    <w:rsid w:val="007A2166"/>
    <w:rsid w:val="007A2260"/>
    <w:rsid w:val="007A260F"/>
    <w:rsid w:val="007A3169"/>
    <w:rsid w:val="007A31BD"/>
    <w:rsid w:val="007A3443"/>
    <w:rsid w:val="007A37D3"/>
    <w:rsid w:val="007A457A"/>
    <w:rsid w:val="007A5B2A"/>
    <w:rsid w:val="007A5F4E"/>
    <w:rsid w:val="007A7431"/>
    <w:rsid w:val="007A78B8"/>
    <w:rsid w:val="007B036F"/>
    <w:rsid w:val="007B075A"/>
    <w:rsid w:val="007B1B61"/>
    <w:rsid w:val="007B1D3B"/>
    <w:rsid w:val="007B20AE"/>
    <w:rsid w:val="007B2B84"/>
    <w:rsid w:val="007B2BEC"/>
    <w:rsid w:val="007B48DF"/>
    <w:rsid w:val="007B56FE"/>
    <w:rsid w:val="007B5847"/>
    <w:rsid w:val="007B677F"/>
    <w:rsid w:val="007B7645"/>
    <w:rsid w:val="007C05A5"/>
    <w:rsid w:val="007C09A9"/>
    <w:rsid w:val="007C0A7D"/>
    <w:rsid w:val="007C0BF8"/>
    <w:rsid w:val="007C0D11"/>
    <w:rsid w:val="007C17DD"/>
    <w:rsid w:val="007C1CD2"/>
    <w:rsid w:val="007C2000"/>
    <w:rsid w:val="007C2E1E"/>
    <w:rsid w:val="007C4371"/>
    <w:rsid w:val="007C4578"/>
    <w:rsid w:val="007C4720"/>
    <w:rsid w:val="007C4C56"/>
    <w:rsid w:val="007C6078"/>
    <w:rsid w:val="007C6D8C"/>
    <w:rsid w:val="007C73A1"/>
    <w:rsid w:val="007C742D"/>
    <w:rsid w:val="007C7F45"/>
    <w:rsid w:val="007D0424"/>
    <w:rsid w:val="007D1451"/>
    <w:rsid w:val="007D1FF4"/>
    <w:rsid w:val="007D2FE9"/>
    <w:rsid w:val="007D41AA"/>
    <w:rsid w:val="007D4CA7"/>
    <w:rsid w:val="007D4E58"/>
    <w:rsid w:val="007D5D6C"/>
    <w:rsid w:val="007D62FA"/>
    <w:rsid w:val="007D7751"/>
    <w:rsid w:val="007D79DC"/>
    <w:rsid w:val="007D7B40"/>
    <w:rsid w:val="007E1BE2"/>
    <w:rsid w:val="007E22C3"/>
    <w:rsid w:val="007E3804"/>
    <w:rsid w:val="007E3BA3"/>
    <w:rsid w:val="007E462C"/>
    <w:rsid w:val="007E48C1"/>
    <w:rsid w:val="007E4F56"/>
    <w:rsid w:val="007E51F5"/>
    <w:rsid w:val="007E5576"/>
    <w:rsid w:val="007E58A6"/>
    <w:rsid w:val="007E5A83"/>
    <w:rsid w:val="007E6312"/>
    <w:rsid w:val="007E7B69"/>
    <w:rsid w:val="007F0987"/>
    <w:rsid w:val="007F159F"/>
    <w:rsid w:val="007F1763"/>
    <w:rsid w:val="007F332A"/>
    <w:rsid w:val="007F45D1"/>
    <w:rsid w:val="007F622B"/>
    <w:rsid w:val="007F6318"/>
    <w:rsid w:val="007F63E8"/>
    <w:rsid w:val="007F6CB6"/>
    <w:rsid w:val="00800FA4"/>
    <w:rsid w:val="00801692"/>
    <w:rsid w:val="008024DB"/>
    <w:rsid w:val="00802C0D"/>
    <w:rsid w:val="00802C92"/>
    <w:rsid w:val="00802DBB"/>
    <w:rsid w:val="00803E07"/>
    <w:rsid w:val="00805526"/>
    <w:rsid w:val="0080592F"/>
    <w:rsid w:val="0080624B"/>
    <w:rsid w:val="0080674B"/>
    <w:rsid w:val="00806B63"/>
    <w:rsid w:val="00806F79"/>
    <w:rsid w:val="008076B4"/>
    <w:rsid w:val="008078BF"/>
    <w:rsid w:val="00807DAF"/>
    <w:rsid w:val="008101ED"/>
    <w:rsid w:val="0081035A"/>
    <w:rsid w:val="008108B9"/>
    <w:rsid w:val="008109C1"/>
    <w:rsid w:val="00810C9F"/>
    <w:rsid w:val="0081111C"/>
    <w:rsid w:val="00812044"/>
    <w:rsid w:val="00812E57"/>
    <w:rsid w:val="00814759"/>
    <w:rsid w:val="00814FD1"/>
    <w:rsid w:val="00815056"/>
    <w:rsid w:val="00815BD8"/>
    <w:rsid w:val="00815CBC"/>
    <w:rsid w:val="00817D73"/>
    <w:rsid w:val="008227F8"/>
    <w:rsid w:val="00822EF8"/>
    <w:rsid w:val="00824471"/>
    <w:rsid w:val="00824491"/>
    <w:rsid w:val="0082516D"/>
    <w:rsid w:val="00825A19"/>
    <w:rsid w:val="00826F51"/>
    <w:rsid w:val="0082740A"/>
    <w:rsid w:val="008306EA"/>
    <w:rsid w:val="00830E9A"/>
    <w:rsid w:val="00832ACF"/>
    <w:rsid w:val="008336A2"/>
    <w:rsid w:val="00833964"/>
    <w:rsid w:val="00833F09"/>
    <w:rsid w:val="008341BF"/>
    <w:rsid w:val="00834701"/>
    <w:rsid w:val="008348F0"/>
    <w:rsid w:val="00834FCB"/>
    <w:rsid w:val="008356BC"/>
    <w:rsid w:val="00836248"/>
    <w:rsid w:val="00837B6F"/>
    <w:rsid w:val="00837D2F"/>
    <w:rsid w:val="00842FEC"/>
    <w:rsid w:val="00844680"/>
    <w:rsid w:val="008446E4"/>
    <w:rsid w:val="0084479D"/>
    <w:rsid w:val="00844848"/>
    <w:rsid w:val="00845CAC"/>
    <w:rsid w:val="00846024"/>
    <w:rsid w:val="00846908"/>
    <w:rsid w:val="0084701E"/>
    <w:rsid w:val="008503BC"/>
    <w:rsid w:val="00851DDA"/>
    <w:rsid w:val="00851F4F"/>
    <w:rsid w:val="0085259B"/>
    <w:rsid w:val="00852DE6"/>
    <w:rsid w:val="0085300F"/>
    <w:rsid w:val="0085307F"/>
    <w:rsid w:val="008531F9"/>
    <w:rsid w:val="008537CD"/>
    <w:rsid w:val="00853981"/>
    <w:rsid w:val="00853E40"/>
    <w:rsid w:val="00854640"/>
    <w:rsid w:val="00856712"/>
    <w:rsid w:val="00856DC2"/>
    <w:rsid w:val="00857150"/>
    <w:rsid w:val="008619B1"/>
    <w:rsid w:val="00861CED"/>
    <w:rsid w:val="00862D68"/>
    <w:rsid w:val="008632B3"/>
    <w:rsid w:val="008638BE"/>
    <w:rsid w:val="00863C06"/>
    <w:rsid w:val="0086420D"/>
    <w:rsid w:val="00866B19"/>
    <w:rsid w:val="008676BE"/>
    <w:rsid w:val="0086780C"/>
    <w:rsid w:val="008701F0"/>
    <w:rsid w:val="00870FE4"/>
    <w:rsid w:val="00872184"/>
    <w:rsid w:val="00872E67"/>
    <w:rsid w:val="00873071"/>
    <w:rsid w:val="0087316C"/>
    <w:rsid w:val="008735C7"/>
    <w:rsid w:val="008740A0"/>
    <w:rsid w:val="00874903"/>
    <w:rsid w:val="00875E63"/>
    <w:rsid w:val="0087633A"/>
    <w:rsid w:val="00876E0B"/>
    <w:rsid w:val="0088120A"/>
    <w:rsid w:val="0088135F"/>
    <w:rsid w:val="00881642"/>
    <w:rsid w:val="0088168E"/>
    <w:rsid w:val="00881ABE"/>
    <w:rsid w:val="00883B5C"/>
    <w:rsid w:val="00884EFA"/>
    <w:rsid w:val="00885596"/>
    <w:rsid w:val="00885EC5"/>
    <w:rsid w:val="00886214"/>
    <w:rsid w:val="0088661F"/>
    <w:rsid w:val="00886A0C"/>
    <w:rsid w:val="00887433"/>
    <w:rsid w:val="008879D2"/>
    <w:rsid w:val="008901F2"/>
    <w:rsid w:val="00890798"/>
    <w:rsid w:val="008914A1"/>
    <w:rsid w:val="00892D87"/>
    <w:rsid w:val="00893D20"/>
    <w:rsid w:val="008944AE"/>
    <w:rsid w:val="00894779"/>
    <w:rsid w:val="00895100"/>
    <w:rsid w:val="008954B6"/>
    <w:rsid w:val="008954FE"/>
    <w:rsid w:val="0089575C"/>
    <w:rsid w:val="008958B1"/>
    <w:rsid w:val="00895BBA"/>
    <w:rsid w:val="00896ECA"/>
    <w:rsid w:val="00897D82"/>
    <w:rsid w:val="008A0FD9"/>
    <w:rsid w:val="008A134D"/>
    <w:rsid w:val="008A2023"/>
    <w:rsid w:val="008A2158"/>
    <w:rsid w:val="008A2B2C"/>
    <w:rsid w:val="008A3609"/>
    <w:rsid w:val="008A3857"/>
    <w:rsid w:val="008A3903"/>
    <w:rsid w:val="008A39DE"/>
    <w:rsid w:val="008A3A15"/>
    <w:rsid w:val="008A499E"/>
    <w:rsid w:val="008A4AEB"/>
    <w:rsid w:val="008A4D2D"/>
    <w:rsid w:val="008A5CD8"/>
    <w:rsid w:val="008A62F6"/>
    <w:rsid w:val="008A6F06"/>
    <w:rsid w:val="008A79C2"/>
    <w:rsid w:val="008A7A99"/>
    <w:rsid w:val="008B029E"/>
    <w:rsid w:val="008B0D33"/>
    <w:rsid w:val="008B12C7"/>
    <w:rsid w:val="008B1EA7"/>
    <w:rsid w:val="008B3646"/>
    <w:rsid w:val="008B46E7"/>
    <w:rsid w:val="008B4806"/>
    <w:rsid w:val="008B4939"/>
    <w:rsid w:val="008B4F07"/>
    <w:rsid w:val="008B69D1"/>
    <w:rsid w:val="008B793C"/>
    <w:rsid w:val="008B7D5A"/>
    <w:rsid w:val="008B7E9A"/>
    <w:rsid w:val="008C0076"/>
    <w:rsid w:val="008C00E4"/>
    <w:rsid w:val="008C12F5"/>
    <w:rsid w:val="008C1586"/>
    <w:rsid w:val="008C1914"/>
    <w:rsid w:val="008C2544"/>
    <w:rsid w:val="008C2E58"/>
    <w:rsid w:val="008C30AD"/>
    <w:rsid w:val="008C3978"/>
    <w:rsid w:val="008C39D8"/>
    <w:rsid w:val="008C3BF7"/>
    <w:rsid w:val="008C3F49"/>
    <w:rsid w:val="008C40BA"/>
    <w:rsid w:val="008C5173"/>
    <w:rsid w:val="008C52C3"/>
    <w:rsid w:val="008C5797"/>
    <w:rsid w:val="008C5CB1"/>
    <w:rsid w:val="008C646B"/>
    <w:rsid w:val="008C69F5"/>
    <w:rsid w:val="008D0534"/>
    <w:rsid w:val="008D0C9A"/>
    <w:rsid w:val="008D1F59"/>
    <w:rsid w:val="008D21D9"/>
    <w:rsid w:val="008D29C8"/>
    <w:rsid w:val="008D3120"/>
    <w:rsid w:val="008D3F48"/>
    <w:rsid w:val="008D452A"/>
    <w:rsid w:val="008D4C88"/>
    <w:rsid w:val="008D553A"/>
    <w:rsid w:val="008D6060"/>
    <w:rsid w:val="008D71C9"/>
    <w:rsid w:val="008D79B5"/>
    <w:rsid w:val="008E1496"/>
    <w:rsid w:val="008E179D"/>
    <w:rsid w:val="008E2371"/>
    <w:rsid w:val="008E274E"/>
    <w:rsid w:val="008E27C2"/>
    <w:rsid w:val="008E2A27"/>
    <w:rsid w:val="008E31B9"/>
    <w:rsid w:val="008E36EE"/>
    <w:rsid w:val="008E3C15"/>
    <w:rsid w:val="008E3CA3"/>
    <w:rsid w:val="008E4091"/>
    <w:rsid w:val="008E4FA0"/>
    <w:rsid w:val="008E657F"/>
    <w:rsid w:val="008E6AB3"/>
    <w:rsid w:val="008E7757"/>
    <w:rsid w:val="008E781E"/>
    <w:rsid w:val="008F021C"/>
    <w:rsid w:val="008F1ED2"/>
    <w:rsid w:val="008F200E"/>
    <w:rsid w:val="008F2FF0"/>
    <w:rsid w:val="008F32AC"/>
    <w:rsid w:val="008F3758"/>
    <w:rsid w:val="008F3F5F"/>
    <w:rsid w:val="008F411B"/>
    <w:rsid w:val="008F4DC6"/>
    <w:rsid w:val="008F4EF4"/>
    <w:rsid w:val="008F6323"/>
    <w:rsid w:val="008F66A1"/>
    <w:rsid w:val="008F73E0"/>
    <w:rsid w:val="009001C1"/>
    <w:rsid w:val="00902B04"/>
    <w:rsid w:val="0090348E"/>
    <w:rsid w:val="0090351E"/>
    <w:rsid w:val="00904B8C"/>
    <w:rsid w:val="00904EBD"/>
    <w:rsid w:val="00905D8F"/>
    <w:rsid w:val="0090673B"/>
    <w:rsid w:val="00907182"/>
    <w:rsid w:val="00910B7F"/>
    <w:rsid w:val="009114A9"/>
    <w:rsid w:val="009133A3"/>
    <w:rsid w:val="0091382B"/>
    <w:rsid w:val="00914130"/>
    <w:rsid w:val="009141A7"/>
    <w:rsid w:val="009143F9"/>
    <w:rsid w:val="00914462"/>
    <w:rsid w:val="00914C14"/>
    <w:rsid w:val="0091552F"/>
    <w:rsid w:val="00915538"/>
    <w:rsid w:val="0091616C"/>
    <w:rsid w:val="009171EE"/>
    <w:rsid w:val="009174F0"/>
    <w:rsid w:val="00920123"/>
    <w:rsid w:val="00920496"/>
    <w:rsid w:val="00920737"/>
    <w:rsid w:val="0092095E"/>
    <w:rsid w:val="00921263"/>
    <w:rsid w:val="0092178C"/>
    <w:rsid w:val="0092230C"/>
    <w:rsid w:val="00922C48"/>
    <w:rsid w:val="0092399A"/>
    <w:rsid w:val="00930064"/>
    <w:rsid w:val="00931576"/>
    <w:rsid w:val="009323C9"/>
    <w:rsid w:val="00933F69"/>
    <w:rsid w:val="00934768"/>
    <w:rsid w:val="009348D1"/>
    <w:rsid w:val="00935E92"/>
    <w:rsid w:val="00936814"/>
    <w:rsid w:val="00937483"/>
    <w:rsid w:val="00940FBA"/>
    <w:rsid w:val="0094102C"/>
    <w:rsid w:val="0094303F"/>
    <w:rsid w:val="00943D37"/>
    <w:rsid w:val="009444A8"/>
    <w:rsid w:val="0094490A"/>
    <w:rsid w:val="00944DC9"/>
    <w:rsid w:val="00944F49"/>
    <w:rsid w:val="009458E6"/>
    <w:rsid w:val="00946471"/>
    <w:rsid w:val="00946650"/>
    <w:rsid w:val="00946B25"/>
    <w:rsid w:val="00946D61"/>
    <w:rsid w:val="00946E9A"/>
    <w:rsid w:val="009475EF"/>
    <w:rsid w:val="00947DE9"/>
    <w:rsid w:val="00947F91"/>
    <w:rsid w:val="00947FC9"/>
    <w:rsid w:val="009505B1"/>
    <w:rsid w:val="0095069E"/>
    <w:rsid w:val="0095088F"/>
    <w:rsid w:val="00950EFB"/>
    <w:rsid w:val="00951BF6"/>
    <w:rsid w:val="0095253F"/>
    <w:rsid w:val="00952FBF"/>
    <w:rsid w:val="009531D0"/>
    <w:rsid w:val="009556E4"/>
    <w:rsid w:val="00956082"/>
    <w:rsid w:val="00960052"/>
    <w:rsid w:val="00960082"/>
    <w:rsid w:val="00960119"/>
    <w:rsid w:val="009603E0"/>
    <w:rsid w:val="00962588"/>
    <w:rsid w:val="00962F90"/>
    <w:rsid w:val="00963709"/>
    <w:rsid w:val="00964FB0"/>
    <w:rsid w:val="00965F97"/>
    <w:rsid w:val="00966EF8"/>
    <w:rsid w:val="0096702C"/>
    <w:rsid w:val="0096737D"/>
    <w:rsid w:val="00967492"/>
    <w:rsid w:val="00967B1E"/>
    <w:rsid w:val="00967B34"/>
    <w:rsid w:val="00967C3D"/>
    <w:rsid w:val="0097226D"/>
    <w:rsid w:val="00972857"/>
    <w:rsid w:val="009742FB"/>
    <w:rsid w:val="00974F65"/>
    <w:rsid w:val="00976871"/>
    <w:rsid w:val="00976E42"/>
    <w:rsid w:val="0097715A"/>
    <w:rsid w:val="00977B15"/>
    <w:rsid w:val="00980028"/>
    <w:rsid w:val="00980482"/>
    <w:rsid w:val="00980971"/>
    <w:rsid w:val="009828C9"/>
    <w:rsid w:val="00983DD5"/>
    <w:rsid w:val="00984153"/>
    <w:rsid w:val="00984331"/>
    <w:rsid w:val="00984C57"/>
    <w:rsid w:val="0098514F"/>
    <w:rsid w:val="00986C39"/>
    <w:rsid w:val="009901E5"/>
    <w:rsid w:val="00990A37"/>
    <w:rsid w:val="00990BD8"/>
    <w:rsid w:val="00991C46"/>
    <w:rsid w:val="00991F51"/>
    <w:rsid w:val="009921D8"/>
    <w:rsid w:val="00993052"/>
    <w:rsid w:val="00993186"/>
    <w:rsid w:val="00994DF9"/>
    <w:rsid w:val="00994E6E"/>
    <w:rsid w:val="00995032"/>
    <w:rsid w:val="00995465"/>
    <w:rsid w:val="00995510"/>
    <w:rsid w:val="009961A2"/>
    <w:rsid w:val="00996C70"/>
    <w:rsid w:val="00996EA5"/>
    <w:rsid w:val="00997B52"/>
    <w:rsid w:val="00997F9E"/>
    <w:rsid w:val="009A0104"/>
    <w:rsid w:val="009A0325"/>
    <w:rsid w:val="009A17B4"/>
    <w:rsid w:val="009A1832"/>
    <w:rsid w:val="009A2A2F"/>
    <w:rsid w:val="009A2CD9"/>
    <w:rsid w:val="009A3AC8"/>
    <w:rsid w:val="009A51CA"/>
    <w:rsid w:val="009A595B"/>
    <w:rsid w:val="009A70EB"/>
    <w:rsid w:val="009A7E42"/>
    <w:rsid w:val="009B076E"/>
    <w:rsid w:val="009B0E73"/>
    <w:rsid w:val="009B1FF4"/>
    <w:rsid w:val="009B208C"/>
    <w:rsid w:val="009B2625"/>
    <w:rsid w:val="009B27DD"/>
    <w:rsid w:val="009B3380"/>
    <w:rsid w:val="009B352F"/>
    <w:rsid w:val="009B3ECD"/>
    <w:rsid w:val="009B41E2"/>
    <w:rsid w:val="009B5592"/>
    <w:rsid w:val="009B6884"/>
    <w:rsid w:val="009B7203"/>
    <w:rsid w:val="009B74AB"/>
    <w:rsid w:val="009B7BB7"/>
    <w:rsid w:val="009C01C4"/>
    <w:rsid w:val="009C01D2"/>
    <w:rsid w:val="009C05E9"/>
    <w:rsid w:val="009C1C8B"/>
    <w:rsid w:val="009C1FAF"/>
    <w:rsid w:val="009C3DFC"/>
    <w:rsid w:val="009C494C"/>
    <w:rsid w:val="009C4B81"/>
    <w:rsid w:val="009C5780"/>
    <w:rsid w:val="009C6332"/>
    <w:rsid w:val="009C64DC"/>
    <w:rsid w:val="009C67A1"/>
    <w:rsid w:val="009C7178"/>
    <w:rsid w:val="009C7319"/>
    <w:rsid w:val="009C7388"/>
    <w:rsid w:val="009C76F9"/>
    <w:rsid w:val="009D0FE4"/>
    <w:rsid w:val="009D1285"/>
    <w:rsid w:val="009D136D"/>
    <w:rsid w:val="009D141D"/>
    <w:rsid w:val="009D23CB"/>
    <w:rsid w:val="009D29CA"/>
    <w:rsid w:val="009D2EE5"/>
    <w:rsid w:val="009D3054"/>
    <w:rsid w:val="009D3154"/>
    <w:rsid w:val="009D31FF"/>
    <w:rsid w:val="009D4055"/>
    <w:rsid w:val="009D40E7"/>
    <w:rsid w:val="009D7456"/>
    <w:rsid w:val="009D7AC9"/>
    <w:rsid w:val="009E10DF"/>
    <w:rsid w:val="009E132E"/>
    <w:rsid w:val="009E15DE"/>
    <w:rsid w:val="009E29CE"/>
    <w:rsid w:val="009E3A82"/>
    <w:rsid w:val="009E4085"/>
    <w:rsid w:val="009E4601"/>
    <w:rsid w:val="009E4C6A"/>
    <w:rsid w:val="009E555D"/>
    <w:rsid w:val="009E567A"/>
    <w:rsid w:val="009E61C8"/>
    <w:rsid w:val="009E6254"/>
    <w:rsid w:val="009E675C"/>
    <w:rsid w:val="009F0344"/>
    <w:rsid w:val="009F04E7"/>
    <w:rsid w:val="009F103D"/>
    <w:rsid w:val="009F1A11"/>
    <w:rsid w:val="009F2619"/>
    <w:rsid w:val="009F2AC8"/>
    <w:rsid w:val="009F3146"/>
    <w:rsid w:val="009F3870"/>
    <w:rsid w:val="009F3B53"/>
    <w:rsid w:val="009F3F8B"/>
    <w:rsid w:val="009F49DD"/>
    <w:rsid w:val="009F4D8D"/>
    <w:rsid w:val="009F4DBB"/>
    <w:rsid w:val="009F542D"/>
    <w:rsid w:val="009F6102"/>
    <w:rsid w:val="00A007C8"/>
    <w:rsid w:val="00A00D57"/>
    <w:rsid w:val="00A0136F"/>
    <w:rsid w:val="00A016F9"/>
    <w:rsid w:val="00A0254A"/>
    <w:rsid w:val="00A02946"/>
    <w:rsid w:val="00A02A80"/>
    <w:rsid w:val="00A02D81"/>
    <w:rsid w:val="00A03068"/>
    <w:rsid w:val="00A030A6"/>
    <w:rsid w:val="00A03824"/>
    <w:rsid w:val="00A03D2B"/>
    <w:rsid w:val="00A05EA3"/>
    <w:rsid w:val="00A07623"/>
    <w:rsid w:val="00A1027B"/>
    <w:rsid w:val="00A104B7"/>
    <w:rsid w:val="00A114B2"/>
    <w:rsid w:val="00A11755"/>
    <w:rsid w:val="00A121F5"/>
    <w:rsid w:val="00A12AC4"/>
    <w:rsid w:val="00A13828"/>
    <w:rsid w:val="00A13D00"/>
    <w:rsid w:val="00A14225"/>
    <w:rsid w:val="00A14EFD"/>
    <w:rsid w:val="00A155DA"/>
    <w:rsid w:val="00A17170"/>
    <w:rsid w:val="00A20926"/>
    <w:rsid w:val="00A20C55"/>
    <w:rsid w:val="00A214A2"/>
    <w:rsid w:val="00A21739"/>
    <w:rsid w:val="00A21A70"/>
    <w:rsid w:val="00A2450D"/>
    <w:rsid w:val="00A24A6A"/>
    <w:rsid w:val="00A24F0A"/>
    <w:rsid w:val="00A2792E"/>
    <w:rsid w:val="00A30C98"/>
    <w:rsid w:val="00A31B91"/>
    <w:rsid w:val="00A3294D"/>
    <w:rsid w:val="00A33874"/>
    <w:rsid w:val="00A33882"/>
    <w:rsid w:val="00A33F21"/>
    <w:rsid w:val="00A340EC"/>
    <w:rsid w:val="00A3671A"/>
    <w:rsid w:val="00A3691F"/>
    <w:rsid w:val="00A36B00"/>
    <w:rsid w:val="00A36BA3"/>
    <w:rsid w:val="00A37048"/>
    <w:rsid w:val="00A417C2"/>
    <w:rsid w:val="00A41D2B"/>
    <w:rsid w:val="00A42639"/>
    <w:rsid w:val="00A43200"/>
    <w:rsid w:val="00A4328B"/>
    <w:rsid w:val="00A4337A"/>
    <w:rsid w:val="00A43999"/>
    <w:rsid w:val="00A452A5"/>
    <w:rsid w:val="00A45351"/>
    <w:rsid w:val="00A463FB"/>
    <w:rsid w:val="00A46B14"/>
    <w:rsid w:val="00A50A63"/>
    <w:rsid w:val="00A51766"/>
    <w:rsid w:val="00A529A9"/>
    <w:rsid w:val="00A52D95"/>
    <w:rsid w:val="00A53213"/>
    <w:rsid w:val="00A538EE"/>
    <w:rsid w:val="00A53B45"/>
    <w:rsid w:val="00A547AA"/>
    <w:rsid w:val="00A54D6C"/>
    <w:rsid w:val="00A5680F"/>
    <w:rsid w:val="00A56C7C"/>
    <w:rsid w:val="00A575A2"/>
    <w:rsid w:val="00A57627"/>
    <w:rsid w:val="00A5772A"/>
    <w:rsid w:val="00A57A05"/>
    <w:rsid w:val="00A60233"/>
    <w:rsid w:val="00A6227D"/>
    <w:rsid w:val="00A62E0A"/>
    <w:rsid w:val="00A636FE"/>
    <w:rsid w:val="00A6376E"/>
    <w:rsid w:val="00A63ACF"/>
    <w:rsid w:val="00A6547C"/>
    <w:rsid w:val="00A6633E"/>
    <w:rsid w:val="00A66639"/>
    <w:rsid w:val="00A66A51"/>
    <w:rsid w:val="00A66ADE"/>
    <w:rsid w:val="00A66F6B"/>
    <w:rsid w:val="00A67944"/>
    <w:rsid w:val="00A67F62"/>
    <w:rsid w:val="00A703F1"/>
    <w:rsid w:val="00A70DA3"/>
    <w:rsid w:val="00A719E0"/>
    <w:rsid w:val="00A71CA5"/>
    <w:rsid w:val="00A73F08"/>
    <w:rsid w:val="00A748F2"/>
    <w:rsid w:val="00A75D61"/>
    <w:rsid w:val="00A762B5"/>
    <w:rsid w:val="00A76C05"/>
    <w:rsid w:val="00A7718B"/>
    <w:rsid w:val="00A77302"/>
    <w:rsid w:val="00A77B35"/>
    <w:rsid w:val="00A80223"/>
    <w:rsid w:val="00A80390"/>
    <w:rsid w:val="00A805BC"/>
    <w:rsid w:val="00A8066A"/>
    <w:rsid w:val="00A81125"/>
    <w:rsid w:val="00A822CE"/>
    <w:rsid w:val="00A830CA"/>
    <w:rsid w:val="00A83A5A"/>
    <w:rsid w:val="00A83A9E"/>
    <w:rsid w:val="00A83AAA"/>
    <w:rsid w:val="00A83B32"/>
    <w:rsid w:val="00A84207"/>
    <w:rsid w:val="00A8481C"/>
    <w:rsid w:val="00A84C23"/>
    <w:rsid w:val="00A856E5"/>
    <w:rsid w:val="00A8610D"/>
    <w:rsid w:val="00A8691A"/>
    <w:rsid w:val="00A8712C"/>
    <w:rsid w:val="00A87958"/>
    <w:rsid w:val="00A90F1B"/>
    <w:rsid w:val="00A9104B"/>
    <w:rsid w:val="00A92241"/>
    <w:rsid w:val="00A92625"/>
    <w:rsid w:val="00A92665"/>
    <w:rsid w:val="00A92D43"/>
    <w:rsid w:val="00A94C89"/>
    <w:rsid w:val="00A956A9"/>
    <w:rsid w:val="00A960FB"/>
    <w:rsid w:val="00A965B7"/>
    <w:rsid w:val="00A9727A"/>
    <w:rsid w:val="00AA02A5"/>
    <w:rsid w:val="00AA0B45"/>
    <w:rsid w:val="00AA1C29"/>
    <w:rsid w:val="00AA1D27"/>
    <w:rsid w:val="00AA1F17"/>
    <w:rsid w:val="00AA2065"/>
    <w:rsid w:val="00AA348E"/>
    <w:rsid w:val="00AA38DE"/>
    <w:rsid w:val="00AA424B"/>
    <w:rsid w:val="00AA4BE3"/>
    <w:rsid w:val="00AA4E23"/>
    <w:rsid w:val="00AA4FE0"/>
    <w:rsid w:val="00AA5E53"/>
    <w:rsid w:val="00AA6691"/>
    <w:rsid w:val="00AA6F1C"/>
    <w:rsid w:val="00AA6FAD"/>
    <w:rsid w:val="00AA7FFB"/>
    <w:rsid w:val="00AB02F3"/>
    <w:rsid w:val="00AB10F7"/>
    <w:rsid w:val="00AB17CC"/>
    <w:rsid w:val="00AB1C93"/>
    <w:rsid w:val="00AB22E1"/>
    <w:rsid w:val="00AB2352"/>
    <w:rsid w:val="00AB382E"/>
    <w:rsid w:val="00AB3BE8"/>
    <w:rsid w:val="00AB3F8A"/>
    <w:rsid w:val="00AB4925"/>
    <w:rsid w:val="00AB50EC"/>
    <w:rsid w:val="00AB5CDD"/>
    <w:rsid w:val="00AB5EBA"/>
    <w:rsid w:val="00AB6405"/>
    <w:rsid w:val="00AC0907"/>
    <w:rsid w:val="00AC0991"/>
    <w:rsid w:val="00AC0CC3"/>
    <w:rsid w:val="00AC1414"/>
    <w:rsid w:val="00AC1803"/>
    <w:rsid w:val="00AC2A4C"/>
    <w:rsid w:val="00AC3617"/>
    <w:rsid w:val="00AC3A77"/>
    <w:rsid w:val="00AC4154"/>
    <w:rsid w:val="00AC4C8E"/>
    <w:rsid w:val="00AC5D83"/>
    <w:rsid w:val="00AD052F"/>
    <w:rsid w:val="00AD0FA0"/>
    <w:rsid w:val="00AD0FD9"/>
    <w:rsid w:val="00AD1491"/>
    <w:rsid w:val="00AD158A"/>
    <w:rsid w:val="00AD15CE"/>
    <w:rsid w:val="00AD1CBB"/>
    <w:rsid w:val="00AD1F15"/>
    <w:rsid w:val="00AD21DC"/>
    <w:rsid w:val="00AD295A"/>
    <w:rsid w:val="00AD2BDB"/>
    <w:rsid w:val="00AD307D"/>
    <w:rsid w:val="00AD3A96"/>
    <w:rsid w:val="00AD3EB3"/>
    <w:rsid w:val="00AD56C2"/>
    <w:rsid w:val="00AD595C"/>
    <w:rsid w:val="00AD5C5F"/>
    <w:rsid w:val="00AE04C4"/>
    <w:rsid w:val="00AE2299"/>
    <w:rsid w:val="00AE252B"/>
    <w:rsid w:val="00AE481D"/>
    <w:rsid w:val="00AE509A"/>
    <w:rsid w:val="00AE5DEF"/>
    <w:rsid w:val="00AE6054"/>
    <w:rsid w:val="00AE76D3"/>
    <w:rsid w:val="00AF03C8"/>
    <w:rsid w:val="00AF07F2"/>
    <w:rsid w:val="00AF129D"/>
    <w:rsid w:val="00AF2064"/>
    <w:rsid w:val="00AF239A"/>
    <w:rsid w:val="00AF24E8"/>
    <w:rsid w:val="00AF32BC"/>
    <w:rsid w:val="00AF40C6"/>
    <w:rsid w:val="00AF4484"/>
    <w:rsid w:val="00AF46DE"/>
    <w:rsid w:val="00AF4AE8"/>
    <w:rsid w:val="00AF4B76"/>
    <w:rsid w:val="00AF533D"/>
    <w:rsid w:val="00AF62CA"/>
    <w:rsid w:val="00AF66F2"/>
    <w:rsid w:val="00AF7147"/>
    <w:rsid w:val="00AF748D"/>
    <w:rsid w:val="00AF7691"/>
    <w:rsid w:val="00B00267"/>
    <w:rsid w:val="00B012FF"/>
    <w:rsid w:val="00B01659"/>
    <w:rsid w:val="00B03479"/>
    <w:rsid w:val="00B03595"/>
    <w:rsid w:val="00B03779"/>
    <w:rsid w:val="00B03D76"/>
    <w:rsid w:val="00B05AA2"/>
    <w:rsid w:val="00B06CF4"/>
    <w:rsid w:val="00B07D87"/>
    <w:rsid w:val="00B10F3E"/>
    <w:rsid w:val="00B11211"/>
    <w:rsid w:val="00B114D9"/>
    <w:rsid w:val="00B124A8"/>
    <w:rsid w:val="00B12D36"/>
    <w:rsid w:val="00B1362B"/>
    <w:rsid w:val="00B13A5A"/>
    <w:rsid w:val="00B15460"/>
    <w:rsid w:val="00B15DCF"/>
    <w:rsid w:val="00B1674B"/>
    <w:rsid w:val="00B1744D"/>
    <w:rsid w:val="00B175EE"/>
    <w:rsid w:val="00B1766A"/>
    <w:rsid w:val="00B17D2F"/>
    <w:rsid w:val="00B20D69"/>
    <w:rsid w:val="00B20F03"/>
    <w:rsid w:val="00B212E7"/>
    <w:rsid w:val="00B21510"/>
    <w:rsid w:val="00B21BD2"/>
    <w:rsid w:val="00B21F46"/>
    <w:rsid w:val="00B22299"/>
    <w:rsid w:val="00B22511"/>
    <w:rsid w:val="00B24548"/>
    <w:rsid w:val="00B253C8"/>
    <w:rsid w:val="00B253E2"/>
    <w:rsid w:val="00B254EE"/>
    <w:rsid w:val="00B25846"/>
    <w:rsid w:val="00B265EC"/>
    <w:rsid w:val="00B27AB1"/>
    <w:rsid w:val="00B27E78"/>
    <w:rsid w:val="00B334AC"/>
    <w:rsid w:val="00B3380F"/>
    <w:rsid w:val="00B34A8F"/>
    <w:rsid w:val="00B3539E"/>
    <w:rsid w:val="00B354E0"/>
    <w:rsid w:val="00B373D8"/>
    <w:rsid w:val="00B374BF"/>
    <w:rsid w:val="00B37A33"/>
    <w:rsid w:val="00B37DC8"/>
    <w:rsid w:val="00B37E6D"/>
    <w:rsid w:val="00B4103F"/>
    <w:rsid w:val="00B41A93"/>
    <w:rsid w:val="00B41E18"/>
    <w:rsid w:val="00B432AE"/>
    <w:rsid w:val="00B44869"/>
    <w:rsid w:val="00B44EF3"/>
    <w:rsid w:val="00B45C50"/>
    <w:rsid w:val="00B46930"/>
    <w:rsid w:val="00B46AF8"/>
    <w:rsid w:val="00B470F6"/>
    <w:rsid w:val="00B47361"/>
    <w:rsid w:val="00B4756B"/>
    <w:rsid w:val="00B478A6"/>
    <w:rsid w:val="00B50652"/>
    <w:rsid w:val="00B5166D"/>
    <w:rsid w:val="00B516DD"/>
    <w:rsid w:val="00B51F43"/>
    <w:rsid w:val="00B51F9F"/>
    <w:rsid w:val="00B522D3"/>
    <w:rsid w:val="00B523E2"/>
    <w:rsid w:val="00B526B1"/>
    <w:rsid w:val="00B52AE6"/>
    <w:rsid w:val="00B52B59"/>
    <w:rsid w:val="00B53DEA"/>
    <w:rsid w:val="00B542BD"/>
    <w:rsid w:val="00B54C9C"/>
    <w:rsid w:val="00B5618D"/>
    <w:rsid w:val="00B56414"/>
    <w:rsid w:val="00B5657F"/>
    <w:rsid w:val="00B5683D"/>
    <w:rsid w:val="00B607BD"/>
    <w:rsid w:val="00B60AEA"/>
    <w:rsid w:val="00B612EC"/>
    <w:rsid w:val="00B644FC"/>
    <w:rsid w:val="00B649D7"/>
    <w:rsid w:val="00B66332"/>
    <w:rsid w:val="00B66B56"/>
    <w:rsid w:val="00B67806"/>
    <w:rsid w:val="00B67BDD"/>
    <w:rsid w:val="00B67D3F"/>
    <w:rsid w:val="00B713E2"/>
    <w:rsid w:val="00B719E5"/>
    <w:rsid w:val="00B71C4B"/>
    <w:rsid w:val="00B723AF"/>
    <w:rsid w:val="00B723B7"/>
    <w:rsid w:val="00B725EB"/>
    <w:rsid w:val="00B737C9"/>
    <w:rsid w:val="00B738FE"/>
    <w:rsid w:val="00B73985"/>
    <w:rsid w:val="00B73F3F"/>
    <w:rsid w:val="00B74662"/>
    <w:rsid w:val="00B74A28"/>
    <w:rsid w:val="00B75373"/>
    <w:rsid w:val="00B75B73"/>
    <w:rsid w:val="00B75BA6"/>
    <w:rsid w:val="00B75EB7"/>
    <w:rsid w:val="00B761FC"/>
    <w:rsid w:val="00B765CB"/>
    <w:rsid w:val="00B7757B"/>
    <w:rsid w:val="00B7783F"/>
    <w:rsid w:val="00B77DBC"/>
    <w:rsid w:val="00B8045B"/>
    <w:rsid w:val="00B81081"/>
    <w:rsid w:val="00B826AB"/>
    <w:rsid w:val="00B82F94"/>
    <w:rsid w:val="00B834EF"/>
    <w:rsid w:val="00B83541"/>
    <w:rsid w:val="00B84A90"/>
    <w:rsid w:val="00B84FCC"/>
    <w:rsid w:val="00B85A17"/>
    <w:rsid w:val="00B863AB"/>
    <w:rsid w:val="00B9066E"/>
    <w:rsid w:val="00B9110E"/>
    <w:rsid w:val="00B9213E"/>
    <w:rsid w:val="00B92796"/>
    <w:rsid w:val="00B9348E"/>
    <w:rsid w:val="00B957B9"/>
    <w:rsid w:val="00B965AB"/>
    <w:rsid w:val="00B96993"/>
    <w:rsid w:val="00B971F7"/>
    <w:rsid w:val="00B975FF"/>
    <w:rsid w:val="00B97671"/>
    <w:rsid w:val="00B97B95"/>
    <w:rsid w:val="00BA00F7"/>
    <w:rsid w:val="00BA0D02"/>
    <w:rsid w:val="00BA0FA5"/>
    <w:rsid w:val="00BA10D9"/>
    <w:rsid w:val="00BA1231"/>
    <w:rsid w:val="00BA1BA3"/>
    <w:rsid w:val="00BA2344"/>
    <w:rsid w:val="00BA2A04"/>
    <w:rsid w:val="00BA3418"/>
    <w:rsid w:val="00BA36EF"/>
    <w:rsid w:val="00BA60E5"/>
    <w:rsid w:val="00BA6979"/>
    <w:rsid w:val="00BA6E6B"/>
    <w:rsid w:val="00BA7002"/>
    <w:rsid w:val="00BB1A61"/>
    <w:rsid w:val="00BB1AE7"/>
    <w:rsid w:val="00BB34AC"/>
    <w:rsid w:val="00BB35F1"/>
    <w:rsid w:val="00BB36D2"/>
    <w:rsid w:val="00BB38C6"/>
    <w:rsid w:val="00BB3A35"/>
    <w:rsid w:val="00BB4583"/>
    <w:rsid w:val="00BB518F"/>
    <w:rsid w:val="00BB616F"/>
    <w:rsid w:val="00BB62BE"/>
    <w:rsid w:val="00BB65B9"/>
    <w:rsid w:val="00BB6613"/>
    <w:rsid w:val="00BB79A4"/>
    <w:rsid w:val="00BC0D86"/>
    <w:rsid w:val="00BC1E70"/>
    <w:rsid w:val="00BC229B"/>
    <w:rsid w:val="00BC3067"/>
    <w:rsid w:val="00BC363D"/>
    <w:rsid w:val="00BC3DE3"/>
    <w:rsid w:val="00BC4203"/>
    <w:rsid w:val="00BC4288"/>
    <w:rsid w:val="00BC489D"/>
    <w:rsid w:val="00BC4CCE"/>
    <w:rsid w:val="00BC6D74"/>
    <w:rsid w:val="00BC7666"/>
    <w:rsid w:val="00BC7BB1"/>
    <w:rsid w:val="00BC7E3B"/>
    <w:rsid w:val="00BC7EE3"/>
    <w:rsid w:val="00BD0B78"/>
    <w:rsid w:val="00BD0D0F"/>
    <w:rsid w:val="00BD1C99"/>
    <w:rsid w:val="00BD1EAC"/>
    <w:rsid w:val="00BD4B21"/>
    <w:rsid w:val="00BD4D59"/>
    <w:rsid w:val="00BD53D5"/>
    <w:rsid w:val="00BD561C"/>
    <w:rsid w:val="00BD6D84"/>
    <w:rsid w:val="00BD6DB5"/>
    <w:rsid w:val="00BD6FF1"/>
    <w:rsid w:val="00BD71F8"/>
    <w:rsid w:val="00BD7A1D"/>
    <w:rsid w:val="00BD7F0D"/>
    <w:rsid w:val="00BE0250"/>
    <w:rsid w:val="00BE09D3"/>
    <w:rsid w:val="00BE20AD"/>
    <w:rsid w:val="00BE2542"/>
    <w:rsid w:val="00BE2ABB"/>
    <w:rsid w:val="00BE4754"/>
    <w:rsid w:val="00BE543A"/>
    <w:rsid w:val="00BE582E"/>
    <w:rsid w:val="00BE62A9"/>
    <w:rsid w:val="00BE642C"/>
    <w:rsid w:val="00BE6CAC"/>
    <w:rsid w:val="00BE7108"/>
    <w:rsid w:val="00BE724B"/>
    <w:rsid w:val="00BF158E"/>
    <w:rsid w:val="00BF2F7E"/>
    <w:rsid w:val="00BF389A"/>
    <w:rsid w:val="00BF3A26"/>
    <w:rsid w:val="00BF43D8"/>
    <w:rsid w:val="00BF49D5"/>
    <w:rsid w:val="00BF6943"/>
    <w:rsid w:val="00BF7060"/>
    <w:rsid w:val="00BF79DB"/>
    <w:rsid w:val="00BF7E1C"/>
    <w:rsid w:val="00C0191B"/>
    <w:rsid w:val="00C023B5"/>
    <w:rsid w:val="00C02A2A"/>
    <w:rsid w:val="00C03269"/>
    <w:rsid w:val="00C03C7A"/>
    <w:rsid w:val="00C03F2B"/>
    <w:rsid w:val="00C0414D"/>
    <w:rsid w:val="00C0426E"/>
    <w:rsid w:val="00C045AD"/>
    <w:rsid w:val="00C05DD5"/>
    <w:rsid w:val="00C067EC"/>
    <w:rsid w:val="00C06DC9"/>
    <w:rsid w:val="00C1046E"/>
    <w:rsid w:val="00C106B9"/>
    <w:rsid w:val="00C11088"/>
    <w:rsid w:val="00C1168E"/>
    <w:rsid w:val="00C11AA8"/>
    <w:rsid w:val="00C12138"/>
    <w:rsid w:val="00C124E7"/>
    <w:rsid w:val="00C12830"/>
    <w:rsid w:val="00C12CDF"/>
    <w:rsid w:val="00C147AE"/>
    <w:rsid w:val="00C14F69"/>
    <w:rsid w:val="00C15D52"/>
    <w:rsid w:val="00C16209"/>
    <w:rsid w:val="00C16B79"/>
    <w:rsid w:val="00C16F5B"/>
    <w:rsid w:val="00C17499"/>
    <w:rsid w:val="00C175CE"/>
    <w:rsid w:val="00C17825"/>
    <w:rsid w:val="00C179C5"/>
    <w:rsid w:val="00C17DDD"/>
    <w:rsid w:val="00C20B41"/>
    <w:rsid w:val="00C21167"/>
    <w:rsid w:val="00C218D1"/>
    <w:rsid w:val="00C2266B"/>
    <w:rsid w:val="00C228DC"/>
    <w:rsid w:val="00C237F0"/>
    <w:rsid w:val="00C25630"/>
    <w:rsid w:val="00C25785"/>
    <w:rsid w:val="00C25A25"/>
    <w:rsid w:val="00C27448"/>
    <w:rsid w:val="00C27B90"/>
    <w:rsid w:val="00C30364"/>
    <w:rsid w:val="00C3056A"/>
    <w:rsid w:val="00C317C8"/>
    <w:rsid w:val="00C31C8F"/>
    <w:rsid w:val="00C323A9"/>
    <w:rsid w:val="00C34EA3"/>
    <w:rsid w:val="00C35AFB"/>
    <w:rsid w:val="00C36661"/>
    <w:rsid w:val="00C36A22"/>
    <w:rsid w:val="00C40B9B"/>
    <w:rsid w:val="00C4172B"/>
    <w:rsid w:val="00C4175C"/>
    <w:rsid w:val="00C41D2A"/>
    <w:rsid w:val="00C42AA5"/>
    <w:rsid w:val="00C43081"/>
    <w:rsid w:val="00C44D97"/>
    <w:rsid w:val="00C4575C"/>
    <w:rsid w:val="00C45D35"/>
    <w:rsid w:val="00C4604A"/>
    <w:rsid w:val="00C46C7D"/>
    <w:rsid w:val="00C47B5A"/>
    <w:rsid w:val="00C502B9"/>
    <w:rsid w:val="00C515AC"/>
    <w:rsid w:val="00C52D62"/>
    <w:rsid w:val="00C52EA8"/>
    <w:rsid w:val="00C53E5E"/>
    <w:rsid w:val="00C541D9"/>
    <w:rsid w:val="00C54735"/>
    <w:rsid w:val="00C54B66"/>
    <w:rsid w:val="00C5520A"/>
    <w:rsid w:val="00C5556D"/>
    <w:rsid w:val="00C55820"/>
    <w:rsid w:val="00C56426"/>
    <w:rsid w:val="00C56B03"/>
    <w:rsid w:val="00C56C96"/>
    <w:rsid w:val="00C57821"/>
    <w:rsid w:val="00C60C7C"/>
    <w:rsid w:val="00C61B44"/>
    <w:rsid w:val="00C63438"/>
    <w:rsid w:val="00C63DBE"/>
    <w:rsid w:val="00C643F6"/>
    <w:rsid w:val="00C64EA0"/>
    <w:rsid w:val="00C657B4"/>
    <w:rsid w:val="00C657E4"/>
    <w:rsid w:val="00C65BDC"/>
    <w:rsid w:val="00C65C15"/>
    <w:rsid w:val="00C662CC"/>
    <w:rsid w:val="00C67175"/>
    <w:rsid w:val="00C67E04"/>
    <w:rsid w:val="00C70268"/>
    <w:rsid w:val="00C7032D"/>
    <w:rsid w:val="00C708FC"/>
    <w:rsid w:val="00C70AE8"/>
    <w:rsid w:val="00C70BDE"/>
    <w:rsid w:val="00C70D07"/>
    <w:rsid w:val="00C722DA"/>
    <w:rsid w:val="00C727EC"/>
    <w:rsid w:val="00C727F8"/>
    <w:rsid w:val="00C7546F"/>
    <w:rsid w:val="00C76607"/>
    <w:rsid w:val="00C77634"/>
    <w:rsid w:val="00C776EE"/>
    <w:rsid w:val="00C8195B"/>
    <w:rsid w:val="00C8271E"/>
    <w:rsid w:val="00C82948"/>
    <w:rsid w:val="00C82C5E"/>
    <w:rsid w:val="00C83185"/>
    <w:rsid w:val="00C83718"/>
    <w:rsid w:val="00C845B0"/>
    <w:rsid w:val="00C85211"/>
    <w:rsid w:val="00C85BF4"/>
    <w:rsid w:val="00C9002F"/>
    <w:rsid w:val="00C9081A"/>
    <w:rsid w:val="00C90D06"/>
    <w:rsid w:val="00C90F08"/>
    <w:rsid w:val="00C92A95"/>
    <w:rsid w:val="00C93603"/>
    <w:rsid w:val="00C93EE9"/>
    <w:rsid w:val="00C942EE"/>
    <w:rsid w:val="00C96A32"/>
    <w:rsid w:val="00C97A42"/>
    <w:rsid w:val="00CA1B42"/>
    <w:rsid w:val="00CA1D66"/>
    <w:rsid w:val="00CA2AA9"/>
    <w:rsid w:val="00CA310C"/>
    <w:rsid w:val="00CA3BEC"/>
    <w:rsid w:val="00CA45E4"/>
    <w:rsid w:val="00CA5162"/>
    <w:rsid w:val="00CA5801"/>
    <w:rsid w:val="00CA6D19"/>
    <w:rsid w:val="00CB0BF4"/>
    <w:rsid w:val="00CB13BC"/>
    <w:rsid w:val="00CB1D22"/>
    <w:rsid w:val="00CB1EB8"/>
    <w:rsid w:val="00CB360F"/>
    <w:rsid w:val="00CB450B"/>
    <w:rsid w:val="00CB5FB3"/>
    <w:rsid w:val="00CB6E77"/>
    <w:rsid w:val="00CC03A5"/>
    <w:rsid w:val="00CC1BB3"/>
    <w:rsid w:val="00CC224E"/>
    <w:rsid w:val="00CC225C"/>
    <w:rsid w:val="00CC27F8"/>
    <w:rsid w:val="00CC3FF9"/>
    <w:rsid w:val="00CC48F5"/>
    <w:rsid w:val="00CC4ACF"/>
    <w:rsid w:val="00CC4C08"/>
    <w:rsid w:val="00CC580C"/>
    <w:rsid w:val="00CC694C"/>
    <w:rsid w:val="00CC6986"/>
    <w:rsid w:val="00CC6D85"/>
    <w:rsid w:val="00CC723C"/>
    <w:rsid w:val="00CC785B"/>
    <w:rsid w:val="00CD1512"/>
    <w:rsid w:val="00CD1CF2"/>
    <w:rsid w:val="00CD24A0"/>
    <w:rsid w:val="00CD29E6"/>
    <w:rsid w:val="00CD35FE"/>
    <w:rsid w:val="00CD36A3"/>
    <w:rsid w:val="00CD3821"/>
    <w:rsid w:val="00CD4EC6"/>
    <w:rsid w:val="00CD6230"/>
    <w:rsid w:val="00CD6B5C"/>
    <w:rsid w:val="00CE0309"/>
    <w:rsid w:val="00CE14D0"/>
    <w:rsid w:val="00CE18C9"/>
    <w:rsid w:val="00CE18FE"/>
    <w:rsid w:val="00CE2CA8"/>
    <w:rsid w:val="00CE313A"/>
    <w:rsid w:val="00CE366C"/>
    <w:rsid w:val="00CE4043"/>
    <w:rsid w:val="00CE6A20"/>
    <w:rsid w:val="00CE6CFB"/>
    <w:rsid w:val="00CE6EFA"/>
    <w:rsid w:val="00CE7D94"/>
    <w:rsid w:val="00CF0434"/>
    <w:rsid w:val="00CF14A5"/>
    <w:rsid w:val="00CF3010"/>
    <w:rsid w:val="00CF3AC1"/>
    <w:rsid w:val="00CF3B99"/>
    <w:rsid w:val="00CF3CC3"/>
    <w:rsid w:val="00CF4FC1"/>
    <w:rsid w:val="00CF5012"/>
    <w:rsid w:val="00CF53D6"/>
    <w:rsid w:val="00CF5740"/>
    <w:rsid w:val="00CF5919"/>
    <w:rsid w:val="00CF5B05"/>
    <w:rsid w:val="00CF6359"/>
    <w:rsid w:val="00CF6410"/>
    <w:rsid w:val="00CF7BEF"/>
    <w:rsid w:val="00D0067B"/>
    <w:rsid w:val="00D00ABA"/>
    <w:rsid w:val="00D0109C"/>
    <w:rsid w:val="00D0359B"/>
    <w:rsid w:val="00D03ADB"/>
    <w:rsid w:val="00D078E2"/>
    <w:rsid w:val="00D10207"/>
    <w:rsid w:val="00D10C7E"/>
    <w:rsid w:val="00D11492"/>
    <w:rsid w:val="00D11783"/>
    <w:rsid w:val="00D117D2"/>
    <w:rsid w:val="00D122E9"/>
    <w:rsid w:val="00D1274C"/>
    <w:rsid w:val="00D12F6C"/>
    <w:rsid w:val="00D134F4"/>
    <w:rsid w:val="00D14F8D"/>
    <w:rsid w:val="00D15DE5"/>
    <w:rsid w:val="00D16502"/>
    <w:rsid w:val="00D1681B"/>
    <w:rsid w:val="00D206B2"/>
    <w:rsid w:val="00D21515"/>
    <w:rsid w:val="00D220FF"/>
    <w:rsid w:val="00D23749"/>
    <w:rsid w:val="00D239EF"/>
    <w:rsid w:val="00D23C8D"/>
    <w:rsid w:val="00D24E93"/>
    <w:rsid w:val="00D25127"/>
    <w:rsid w:val="00D26816"/>
    <w:rsid w:val="00D27180"/>
    <w:rsid w:val="00D27707"/>
    <w:rsid w:val="00D27884"/>
    <w:rsid w:val="00D347C4"/>
    <w:rsid w:val="00D34B88"/>
    <w:rsid w:val="00D35017"/>
    <w:rsid w:val="00D35A8C"/>
    <w:rsid w:val="00D3739A"/>
    <w:rsid w:val="00D37CE4"/>
    <w:rsid w:val="00D37FBD"/>
    <w:rsid w:val="00D4141F"/>
    <w:rsid w:val="00D41820"/>
    <w:rsid w:val="00D44190"/>
    <w:rsid w:val="00D450A8"/>
    <w:rsid w:val="00D45C0A"/>
    <w:rsid w:val="00D467E3"/>
    <w:rsid w:val="00D46FCB"/>
    <w:rsid w:val="00D50411"/>
    <w:rsid w:val="00D504FB"/>
    <w:rsid w:val="00D50A77"/>
    <w:rsid w:val="00D50D61"/>
    <w:rsid w:val="00D522A2"/>
    <w:rsid w:val="00D52530"/>
    <w:rsid w:val="00D531C3"/>
    <w:rsid w:val="00D54450"/>
    <w:rsid w:val="00D54FCF"/>
    <w:rsid w:val="00D556CC"/>
    <w:rsid w:val="00D559DB"/>
    <w:rsid w:val="00D55A3E"/>
    <w:rsid w:val="00D55B71"/>
    <w:rsid w:val="00D570FA"/>
    <w:rsid w:val="00D57C7A"/>
    <w:rsid w:val="00D60006"/>
    <w:rsid w:val="00D6011A"/>
    <w:rsid w:val="00D60160"/>
    <w:rsid w:val="00D60A5C"/>
    <w:rsid w:val="00D6169D"/>
    <w:rsid w:val="00D620D1"/>
    <w:rsid w:val="00D62689"/>
    <w:rsid w:val="00D650DE"/>
    <w:rsid w:val="00D65DE9"/>
    <w:rsid w:val="00D65E10"/>
    <w:rsid w:val="00D66076"/>
    <w:rsid w:val="00D66442"/>
    <w:rsid w:val="00D66591"/>
    <w:rsid w:val="00D679CD"/>
    <w:rsid w:val="00D67AFE"/>
    <w:rsid w:val="00D70735"/>
    <w:rsid w:val="00D71483"/>
    <w:rsid w:val="00D716C6"/>
    <w:rsid w:val="00D719F1"/>
    <w:rsid w:val="00D721E7"/>
    <w:rsid w:val="00D73A72"/>
    <w:rsid w:val="00D751A1"/>
    <w:rsid w:val="00D7610D"/>
    <w:rsid w:val="00D76C33"/>
    <w:rsid w:val="00D803E4"/>
    <w:rsid w:val="00D803F9"/>
    <w:rsid w:val="00D80885"/>
    <w:rsid w:val="00D813CA"/>
    <w:rsid w:val="00D81987"/>
    <w:rsid w:val="00D81A69"/>
    <w:rsid w:val="00D81DAC"/>
    <w:rsid w:val="00D82629"/>
    <w:rsid w:val="00D830C7"/>
    <w:rsid w:val="00D8316F"/>
    <w:rsid w:val="00D83AF7"/>
    <w:rsid w:val="00D84294"/>
    <w:rsid w:val="00D84389"/>
    <w:rsid w:val="00D84C87"/>
    <w:rsid w:val="00D854EC"/>
    <w:rsid w:val="00D860CD"/>
    <w:rsid w:val="00D86126"/>
    <w:rsid w:val="00D86721"/>
    <w:rsid w:val="00D87006"/>
    <w:rsid w:val="00D873E9"/>
    <w:rsid w:val="00D9013C"/>
    <w:rsid w:val="00D9104D"/>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373"/>
    <w:rsid w:val="00DA485E"/>
    <w:rsid w:val="00DA4FB4"/>
    <w:rsid w:val="00DA5A09"/>
    <w:rsid w:val="00DA618E"/>
    <w:rsid w:val="00DA673A"/>
    <w:rsid w:val="00DA6EB5"/>
    <w:rsid w:val="00DA7BF3"/>
    <w:rsid w:val="00DB06F5"/>
    <w:rsid w:val="00DB0B48"/>
    <w:rsid w:val="00DB111A"/>
    <w:rsid w:val="00DB1E35"/>
    <w:rsid w:val="00DB227A"/>
    <w:rsid w:val="00DB4235"/>
    <w:rsid w:val="00DB5286"/>
    <w:rsid w:val="00DB53B7"/>
    <w:rsid w:val="00DB5567"/>
    <w:rsid w:val="00DB57AE"/>
    <w:rsid w:val="00DB6F5A"/>
    <w:rsid w:val="00DB7294"/>
    <w:rsid w:val="00DB7632"/>
    <w:rsid w:val="00DB770C"/>
    <w:rsid w:val="00DB7D65"/>
    <w:rsid w:val="00DC085D"/>
    <w:rsid w:val="00DC0E3A"/>
    <w:rsid w:val="00DC12C9"/>
    <w:rsid w:val="00DC1769"/>
    <w:rsid w:val="00DC1934"/>
    <w:rsid w:val="00DC1BF7"/>
    <w:rsid w:val="00DC1C7C"/>
    <w:rsid w:val="00DC1FFA"/>
    <w:rsid w:val="00DC2830"/>
    <w:rsid w:val="00DC35C6"/>
    <w:rsid w:val="00DC45A8"/>
    <w:rsid w:val="00DC4CD8"/>
    <w:rsid w:val="00DC5123"/>
    <w:rsid w:val="00DC6078"/>
    <w:rsid w:val="00DC7E98"/>
    <w:rsid w:val="00DD0A8B"/>
    <w:rsid w:val="00DD13A0"/>
    <w:rsid w:val="00DD1784"/>
    <w:rsid w:val="00DD2A88"/>
    <w:rsid w:val="00DD35D6"/>
    <w:rsid w:val="00DD3874"/>
    <w:rsid w:val="00DD3D2E"/>
    <w:rsid w:val="00DD4265"/>
    <w:rsid w:val="00DD4C0B"/>
    <w:rsid w:val="00DD4C47"/>
    <w:rsid w:val="00DD5D23"/>
    <w:rsid w:val="00DD6055"/>
    <w:rsid w:val="00DD6F2E"/>
    <w:rsid w:val="00DD7107"/>
    <w:rsid w:val="00DD76A8"/>
    <w:rsid w:val="00DE0219"/>
    <w:rsid w:val="00DE0A15"/>
    <w:rsid w:val="00DE0FC9"/>
    <w:rsid w:val="00DE156A"/>
    <w:rsid w:val="00DE1CC1"/>
    <w:rsid w:val="00DE283A"/>
    <w:rsid w:val="00DE2DC7"/>
    <w:rsid w:val="00DE2FF9"/>
    <w:rsid w:val="00DE3571"/>
    <w:rsid w:val="00DE4FCB"/>
    <w:rsid w:val="00DE52E6"/>
    <w:rsid w:val="00DE5CB4"/>
    <w:rsid w:val="00DE6222"/>
    <w:rsid w:val="00DE6435"/>
    <w:rsid w:val="00DE7018"/>
    <w:rsid w:val="00DF0428"/>
    <w:rsid w:val="00DF0522"/>
    <w:rsid w:val="00DF127A"/>
    <w:rsid w:val="00DF1CBB"/>
    <w:rsid w:val="00DF225D"/>
    <w:rsid w:val="00DF3402"/>
    <w:rsid w:val="00DF428A"/>
    <w:rsid w:val="00DF5D9C"/>
    <w:rsid w:val="00DF6F65"/>
    <w:rsid w:val="00DF7723"/>
    <w:rsid w:val="00DF7B16"/>
    <w:rsid w:val="00E01A50"/>
    <w:rsid w:val="00E01B37"/>
    <w:rsid w:val="00E01FB1"/>
    <w:rsid w:val="00E02295"/>
    <w:rsid w:val="00E026C6"/>
    <w:rsid w:val="00E029DA"/>
    <w:rsid w:val="00E02A1D"/>
    <w:rsid w:val="00E02E03"/>
    <w:rsid w:val="00E03590"/>
    <w:rsid w:val="00E03CFA"/>
    <w:rsid w:val="00E03FD4"/>
    <w:rsid w:val="00E04242"/>
    <w:rsid w:val="00E04B98"/>
    <w:rsid w:val="00E04DA8"/>
    <w:rsid w:val="00E05F6A"/>
    <w:rsid w:val="00E0630D"/>
    <w:rsid w:val="00E063DE"/>
    <w:rsid w:val="00E0648D"/>
    <w:rsid w:val="00E06514"/>
    <w:rsid w:val="00E06C40"/>
    <w:rsid w:val="00E07930"/>
    <w:rsid w:val="00E10633"/>
    <w:rsid w:val="00E10ED4"/>
    <w:rsid w:val="00E11A21"/>
    <w:rsid w:val="00E120C3"/>
    <w:rsid w:val="00E12C9E"/>
    <w:rsid w:val="00E12CD1"/>
    <w:rsid w:val="00E1397C"/>
    <w:rsid w:val="00E139C0"/>
    <w:rsid w:val="00E13AE5"/>
    <w:rsid w:val="00E14BCA"/>
    <w:rsid w:val="00E14E03"/>
    <w:rsid w:val="00E14E59"/>
    <w:rsid w:val="00E16D0E"/>
    <w:rsid w:val="00E16F20"/>
    <w:rsid w:val="00E17C2A"/>
    <w:rsid w:val="00E17CAD"/>
    <w:rsid w:val="00E22294"/>
    <w:rsid w:val="00E23583"/>
    <w:rsid w:val="00E2372C"/>
    <w:rsid w:val="00E2380E"/>
    <w:rsid w:val="00E23CCC"/>
    <w:rsid w:val="00E23D83"/>
    <w:rsid w:val="00E249FE"/>
    <w:rsid w:val="00E251C2"/>
    <w:rsid w:val="00E25913"/>
    <w:rsid w:val="00E2599B"/>
    <w:rsid w:val="00E261F6"/>
    <w:rsid w:val="00E266A3"/>
    <w:rsid w:val="00E27344"/>
    <w:rsid w:val="00E302BC"/>
    <w:rsid w:val="00E30384"/>
    <w:rsid w:val="00E30CC4"/>
    <w:rsid w:val="00E3173F"/>
    <w:rsid w:val="00E31BF9"/>
    <w:rsid w:val="00E31D7E"/>
    <w:rsid w:val="00E32226"/>
    <w:rsid w:val="00E3316F"/>
    <w:rsid w:val="00E333E8"/>
    <w:rsid w:val="00E33C5B"/>
    <w:rsid w:val="00E34E9C"/>
    <w:rsid w:val="00E359F9"/>
    <w:rsid w:val="00E373B3"/>
    <w:rsid w:val="00E40DB3"/>
    <w:rsid w:val="00E4100A"/>
    <w:rsid w:val="00E41674"/>
    <w:rsid w:val="00E41B7F"/>
    <w:rsid w:val="00E422E1"/>
    <w:rsid w:val="00E43789"/>
    <w:rsid w:val="00E43C26"/>
    <w:rsid w:val="00E44152"/>
    <w:rsid w:val="00E447D8"/>
    <w:rsid w:val="00E44A12"/>
    <w:rsid w:val="00E44E30"/>
    <w:rsid w:val="00E4573F"/>
    <w:rsid w:val="00E468A3"/>
    <w:rsid w:val="00E46A1F"/>
    <w:rsid w:val="00E4773C"/>
    <w:rsid w:val="00E47803"/>
    <w:rsid w:val="00E50D06"/>
    <w:rsid w:val="00E50F04"/>
    <w:rsid w:val="00E53D76"/>
    <w:rsid w:val="00E546B4"/>
    <w:rsid w:val="00E54900"/>
    <w:rsid w:val="00E5521C"/>
    <w:rsid w:val="00E555A4"/>
    <w:rsid w:val="00E56448"/>
    <w:rsid w:val="00E577EE"/>
    <w:rsid w:val="00E60092"/>
    <w:rsid w:val="00E60E18"/>
    <w:rsid w:val="00E61D38"/>
    <w:rsid w:val="00E62EFF"/>
    <w:rsid w:val="00E64637"/>
    <w:rsid w:val="00E64E5A"/>
    <w:rsid w:val="00E651E3"/>
    <w:rsid w:val="00E659EB"/>
    <w:rsid w:val="00E65AC1"/>
    <w:rsid w:val="00E66223"/>
    <w:rsid w:val="00E66248"/>
    <w:rsid w:val="00E708CB"/>
    <w:rsid w:val="00E70A33"/>
    <w:rsid w:val="00E71360"/>
    <w:rsid w:val="00E714D5"/>
    <w:rsid w:val="00E72707"/>
    <w:rsid w:val="00E73231"/>
    <w:rsid w:val="00E738A1"/>
    <w:rsid w:val="00E73F33"/>
    <w:rsid w:val="00E74441"/>
    <w:rsid w:val="00E76203"/>
    <w:rsid w:val="00E767AB"/>
    <w:rsid w:val="00E77BB0"/>
    <w:rsid w:val="00E80008"/>
    <w:rsid w:val="00E80599"/>
    <w:rsid w:val="00E80733"/>
    <w:rsid w:val="00E810CC"/>
    <w:rsid w:val="00E815CC"/>
    <w:rsid w:val="00E83DFF"/>
    <w:rsid w:val="00E8410F"/>
    <w:rsid w:val="00E84531"/>
    <w:rsid w:val="00E84699"/>
    <w:rsid w:val="00E86372"/>
    <w:rsid w:val="00E86DDE"/>
    <w:rsid w:val="00E870D4"/>
    <w:rsid w:val="00E87913"/>
    <w:rsid w:val="00E9025E"/>
    <w:rsid w:val="00E90307"/>
    <w:rsid w:val="00E9044A"/>
    <w:rsid w:val="00E90B2C"/>
    <w:rsid w:val="00E91524"/>
    <w:rsid w:val="00E92AE2"/>
    <w:rsid w:val="00E92B21"/>
    <w:rsid w:val="00E92C72"/>
    <w:rsid w:val="00E92DB3"/>
    <w:rsid w:val="00E92E8A"/>
    <w:rsid w:val="00E939EC"/>
    <w:rsid w:val="00E93D44"/>
    <w:rsid w:val="00E94856"/>
    <w:rsid w:val="00E94978"/>
    <w:rsid w:val="00E949F6"/>
    <w:rsid w:val="00E94A3D"/>
    <w:rsid w:val="00E94F83"/>
    <w:rsid w:val="00E95084"/>
    <w:rsid w:val="00E9512B"/>
    <w:rsid w:val="00E95598"/>
    <w:rsid w:val="00E95995"/>
    <w:rsid w:val="00E95C99"/>
    <w:rsid w:val="00E9669E"/>
    <w:rsid w:val="00E97D9E"/>
    <w:rsid w:val="00E97E2D"/>
    <w:rsid w:val="00EA0330"/>
    <w:rsid w:val="00EA0BC8"/>
    <w:rsid w:val="00EA18DA"/>
    <w:rsid w:val="00EA1EA3"/>
    <w:rsid w:val="00EA262B"/>
    <w:rsid w:val="00EA380E"/>
    <w:rsid w:val="00EA47C7"/>
    <w:rsid w:val="00EA4ACC"/>
    <w:rsid w:val="00EA5312"/>
    <w:rsid w:val="00EA5BDF"/>
    <w:rsid w:val="00EA610C"/>
    <w:rsid w:val="00EA7062"/>
    <w:rsid w:val="00EA7756"/>
    <w:rsid w:val="00EB09D0"/>
    <w:rsid w:val="00EB11B8"/>
    <w:rsid w:val="00EB1223"/>
    <w:rsid w:val="00EB26A0"/>
    <w:rsid w:val="00EB3645"/>
    <w:rsid w:val="00EB3943"/>
    <w:rsid w:val="00EB3DA4"/>
    <w:rsid w:val="00EB4FEB"/>
    <w:rsid w:val="00EB591D"/>
    <w:rsid w:val="00EB6F06"/>
    <w:rsid w:val="00EB6F7C"/>
    <w:rsid w:val="00EB7F5D"/>
    <w:rsid w:val="00EC0FFB"/>
    <w:rsid w:val="00EC2089"/>
    <w:rsid w:val="00EC3DA2"/>
    <w:rsid w:val="00EC504C"/>
    <w:rsid w:val="00EC54BC"/>
    <w:rsid w:val="00EC57E1"/>
    <w:rsid w:val="00EC667A"/>
    <w:rsid w:val="00EC6D58"/>
    <w:rsid w:val="00EC6E5E"/>
    <w:rsid w:val="00EC7468"/>
    <w:rsid w:val="00EC749E"/>
    <w:rsid w:val="00ED0176"/>
    <w:rsid w:val="00ED0F80"/>
    <w:rsid w:val="00ED0FDA"/>
    <w:rsid w:val="00ED1EE1"/>
    <w:rsid w:val="00ED22F6"/>
    <w:rsid w:val="00ED2366"/>
    <w:rsid w:val="00ED2D21"/>
    <w:rsid w:val="00ED32B6"/>
    <w:rsid w:val="00ED358E"/>
    <w:rsid w:val="00ED38E0"/>
    <w:rsid w:val="00ED3953"/>
    <w:rsid w:val="00ED3993"/>
    <w:rsid w:val="00ED545D"/>
    <w:rsid w:val="00ED54B0"/>
    <w:rsid w:val="00ED55F6"/>
    <w:rsid w:val="00ED5802"/>
    <w:rsid w:val="00ED623A"/>
    <w:rsid w:val="00ED6AC5"/>
    <w:rsid w:val="00ED7CB2"/>
    <w:rsid w:val="00EE19F2"/>
    <w:rsid w:val="00EE2C5A"/>
    <w:rsid w:val="00EE4E75"/>
    <w:rsid w:val="00EE6BF6"/>
    <w:rsid w:val="00EE6FFA"/>
    <w:rsid w:val="00EE729B"/>
    <w:rsid w:val="00EE74B2"/>
    <w:rsid w:val="00EE75CB"/>
    <w:rsid w:val="00EE7918"/>
    <w:rsid w:val="00EE7F20"/>
    <w:rsid w:val="00EE7F56"/>
    <w:rsid w:val="00EF03C9"/>
    <w:rsid w:val="00EF0965"/>
    <w:rsid w:val="00EF0B44"/>
    <w:rsid w:val="00EF1735"/>
    <w:rsid w:val="00EF1DCD"/>
    <w:rsid w:val="00EF1F87"/>
    <w:rsid w:val="00EF21EE"/>
    <w:rsid w:val="00EF4176"/>
    <w:rsid w:val="00EF41DE"/>
    <w:rsid w:val="00EF483C"/>
    <w:rsid w:val="00EF5004"/>
    <w:rsid w:val="00EF5564"/>
    <w:rsid w:val="00EF58F4"/>
    <w:rsid w:val="00EF6970"/>
    <w:rsid w:val="00EF6B8A"/>
    <w:rsid w:val="00EF7C09"/>
    <w:rsid w:val="00F00047"/>
    <w:rsid w:val="00F00789"/>
    <w:rsid w:val="00F012FD"/>
    <w:rsid w:val="00F0203E"/>
    <w:rsid w:val="00F0330A"/>
    <w:rsid w:val="00F060ED"/>
    <w:rsid w:val="00F06309"/>
    <w:rsid w:val="00F06CAE"/>
    <w:rsid w:val="00F06CB4"/>
    <w:rsid w:val="00F07F24"/>
    <w:rsid w:val="00F10AB1"/>
    <w:rsid w:val="00F111CE"/>
    <w:rsid w:val="00F118D3"/>
    <w:rsid w:val="00F1192A"/>
    <w:rsid w:val="00F12EEA"/>
    <w:rsid w:val="00F14476"/>
    <w:rsid w:val="00F149E4"/>
    <w:rsid w:val="00F1518C"/>
    <w:rsid w:val="00F15864"/>
    <w:rsid w:val="00F1605F"/>
    <w:rsid w:val="00F171D6"/>
    <w:rsid w:val="00F175EB"/>
    <w:rsid w:val="00F17937"/>
    <w:rsid w:val="00F17BAD"/>
    <w:rsid w:val="00F17FDD"/>
    <w:rsid w:val="00F20A9C"/>
    <w:rsid w:val="00F21DAD"/>
    <w:rsid w:val="00F221B5"/>
    <w:rsid w:val="00F231F4"/>
    <w:rsid w:val="00F239DE"/>
    <w:rsid w:val="00F247ED"/>
    <w:rsid w:val="00F2486A"/>
    <w:rsid w:val="00F248A3"/>
    <w:rsid w:val="00F250DF"/>
    <w:rsid w:val="00F2526B"/>
    <w:rsid w:val="00F254E7"/>
    <w:rsid w:val="00F25C5B"/>
    <w:rsid w:val="00F260EC"/>
    <w:rsid w:val="00F278A6"/>
    <w:rsid w:val="00F31C06"/>
    <w:rsid w:val="00F32D73"/>
    <w:rsid w:val="00F32F61"/>
    <w:rsid w:val="00F3421A"/>
    <w:rsid w:val="00F35EBC"/>
    <w:rsid w:val="00F36C74"/>
    <w:rsid w:val="00F36F3E"/>
    <w:rsid w:val="00F36FBE"/>
    <w:rsid w:val="00F37259"/>
    <w:rsid w:val="00F40FA9"/>
    <w:rsid w:val="00F4105E"/>
    <w:rsid w:val="00F41F7C"/>
    <w:rsid w:val="00F428F4"/>
    <w:rsid w:val="00F42DD2"/>
    <w:rsid w:val="00F43773"/>
    <w:rsid w:val="00F44CC0"/>
    <w:rsid w:val="00F45651"/>
    <w:rsid w:val="00F46424"/>
    <w:rsid w:val="00F47D23"/>
    <w:rsid w:val="00F502B8"/>
    <w:rsid w:val="00F50D42"/>
    <w:rsid w:val="00F51227"/>
    <w:rsid w:val="00F51BDC"/>
    <w:rsid w:val="00F51D5E"/>
    <w:rsid w:val="00F52A06"/>
    <w:rsid w:val="00F52B38"/>
    <w:rsid w:val="00F53E16"/>
    <w:rsid w:val="00F54DB1"/>
    <w:rsid w:val="00F56223"/>
    <w:rsid w:val="00F56280"/>
    <w:rsid w:val="00F60B50"/>
    <w:rsid w:val="00F61004"/>
    <w:rsid w:val="00F624A2"/>
    <w:rsid w:val="00F62B98"/>
    <w:rsid w:val="00F641A2"/>
    <w:rsid w:val="00F650C5"/>
    <w:rsid w:val="00F6572C"/>
    <w:rsid w:val="00F657C9"/>
    <w:rsid w:val="00F6599E"/>
    <w:rsid w:val="00F65B55"/>
    <w:rsid w:val="00F661DF"/>
    <w:rsid w:val="00F67A6B"/>
    <w:rsid w:val="00F704FB"/>
    <w:rsid w:val="00F7184D"/>
    <w:rsid w:val="00F720DE"/>
    <w:rsid w:val="00F721DE"/>
    <w:rsid w:val="00F72C55"/>
    <w:rsid w:val="00F72D70"/>
    <w:rsid w:val="00F72E51"/>
    <w:rsid w:val="00F73C3C"/>
    <w:rsid w:val="00F740B2"/>
    <w:rsid w:val="00F75029"/>
    <w:rsid w:val="00F75093"/>
    <w:rsid w:val="00F75284"/>
    <w:rsid w:val="00F77C36"/>
    <w:rsid w:val="00F77C37"/>
    <w:rsid w:val="00F77D44"/>
    <w:rsid w:val="00F811CD"/>
    <w:rsid w:val="00F815AC"/>
    <w:rsid w:val="00F81C9A"/>
    <w:rsid w:val="00F82B3B"/>
    <w:rsid w:val="00F83225"/>
    <w:rsid w:val="00F83818"/>
    <w:rsid w:val="00F83B6D"/>
    <w:rsid w:val="00F84938"/>
    <w:rsid w:val="00F84F2D"/>
    <w:rsid w:val="00F85A89"/>
    <w:rsid w:val="00F86FD9"/>
    <w:rsid w:val="00F874BB"/>
    <w:rsid w:val="00F90A41"/>
    <w:rsid w:val="00F9102B"/>
    <w:rsid w:val="00F9130D"/>
    <w:rsid w:val="00F91AE3"/>
    <w:rsid w:val="00F91FAA"/>
    <w:rsid w:val="00F925A3"/>
    <w:rsid w:val="00F9288E"/>
    <w:rsid w:val="00F93110"/>
    <w:rsid w:val="00F93423"/>
    <w:rsid w:val="00F9346C"/>
    <w:rsid w:val="00F93638"/>
    <w:rsid w:val="00F94D60"/>
    <w:rsid w:val="00F95172"/>
    <w:rsid w:val="00F95BDE"/>
    <w:rsid w:val="00F96162"/>
    <w:rsid w:val="00F965DD"/>
    <w:rsid w:val="00F968E1"/>
    <w:rsid w:val="00FA0527"/>
    <w:rsid w:val="00FA0760"/>
    <w:rsid w:val="00FA1338"/>
    <w:rsid w:val="00FA1739"/>
    <w:rsid w:val="00FA1E9A"/>
    <w:rsid w:val="00FA2043"/>
    <w:rsid w:val="00FA2479"/>
    <w:rsid w:val="00FA26FD"/>
    <w:rsid w:val="00FA2C5C"/>
    <w:rsid w:val="00FA4A80"/>
    <w:rsid w:val="00FA4FEF"/>
    <w:rsid w:val="00FA65F9"/>
    <w:rsid w:val="00FA761F"/>
    <w:rsid w:val="00FA7B41"/>
    <w:rsid w:val="00FB0E93"/>
    <w:rsid w:val="00FB130D"/>
    <w:rsid w:val="00FB2666"/>
    <w:rsid w:val="00FB2A8E"/>
    <w:rsid w:val="00FB39B2"/>
    <w:rsid w:val="00FB3E12"/>
    <w:rsid w:val="00FB448C"/>
    <w:rsid w:val="00FB448F"/>
    <w:rsid w:val="00FB4DBF"/>
    <w:rsid w:val="00FB5B6A"/>
    <w:rsid w:val="00FC01CD"/>
    <w:rsid w:val="00FC083E"/>
    <w:rsid w:val="00FC15C2"/>
    <w:rsid w:val="00FC1960"/>
    <w:rsid w:val="00FC1DF8"/>
    <w:rsid w:val="00FC1E70"/>
    <w:rsid w:val="00FC2345"/>
    <w:rsid w:val="00FC3353"/>
    <w:rsid w:val="00FC4EAA"/>
    <w:rsid w:val="00FC561A"/>
    <w:rsid w:val="00FD04A6"/>
    <w:rsid w:val="00FD1807"/>
    <w:rsid w:val="00FD1922"/>
    <w:rsid w:val="00FD1957"/>
    <w:rsid w:val="00FD1A79"/>
    <w:rsid w:val="00FD1F1A"/>
    <w:rsid w:val="00FD2DE4"/>
    <w:rsid w:val="00FD39C8"/>
    <w:rsid w:val="00FD4845"/>
    <w:rsid w:val="00FD5A29"/>
    <w:rsid w:val="00FD5C7E"/>
    <w:rsid w:val="00FD61E3"/>
    <w:rsid w:val="00FD7811"/>
    <w:rsid w:val="00FE00F9"/>
    <w:rsid w:val="00FE05D4"/>
    <w:rsid w:val="00FE1326"/>
    <w:rsid w:val="00FE1422"/>
    <w:rsid w:val="00FE183B"/>
    <w:rsid w:val="00FE2880"/>
    <w:rsid w:val="00FE2CA6"/>
    <w:rsid w:val="00FE2D4C"/>
    <w:rsid w:val="00FE31D4"/>
    <w:rsid w:val="00FE3AC1"/>
    <w:rsid w:val="00FE591D"/>
    <w:rsid w:val="00FE6094"/>
    <w:rsid w:val="00FE6B79"/>
    <w:rsid w:val="00FF0396"/>
    <w:rsid w:val="00FF0B81"/>
    <w:rsid w:val="00FF0D3C"/>
    <w:rsid w:val="00FF27B2"/>
    <w:rsid w:val="00FF3E8A"/>
    <w:rsid w:val="00FF4778"/>
    <w:rsid w:val="00FF4BB3"/>
    <w:rsid w:val="00FF5793"/>
    <w:rsid w:val="00FF5991"/>
    <w:rsid w:val="00FF5BCA"/>
    <w:rsid w:val="00FF5E44"/>
    <w:rsid w:val="00FF5FA8"/>
    <w:rsid w:val="00FF6314"/>
    <w:rsid w:val="00FF75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B001DB"/>
  <w14:defaultImageDpi w14:val="0"/>
  <w15:docId w15:val="{F249A692-FD0C-495A-8CC3-7FB59006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uiPriority="10"/>
    <w:lsdException w:name="Subtitle" w:uiPriority="11"/>
    <w:lsdException w:name="Hyperlink" w:uiPriority="99"/>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723AF"/>
    <w:pPr>
      <w:spacing w:after="200"/>
      <w:jc w:val="both"/>
    </w:pPr>
    <w:rPr>
      <w:sz w:val="22"/>
      <w:lang w:eastAsia="en-US"/>
    </w:rPr>
  </w:style>
  <w:style w:type="paragraph" w:styleId="berschrift1">
    <w:name w:val="heading 1"/>
    <w:basedOn w:val="Standard"/>
    <w:next w:val="Standard"/>
    <w:link w:val="berschrift1Zchn"/>
    <w:uiPriority w:val="9"/>
    <w:pPr>
      <w:keepNext/>
      <w:spacing w:before="240" w:after="60"/>
      <w:outlineLvl w:val="0"/>
    </w:pPr>
    <w:rPr>
      <w:rFonts w:ascii="Arial" w:hAnsi="Arial"/>
      <w:b/>
      <w:kern w:val="28"/>
      <w:sz w:val="28"/>
    </w:rPr>
  </w:style>
  <w:style w:type="paragraph" w:styleId="berschrift2">
    <w:name w:val="heading 2"/>
    <w:basedOn w:val="Standard"/>
    <w:next w:val="Standard"/>
    <w:link w:val="berschrift2Zchn"/>
    <w:uiPriority w:val="9"/>
    <w:pPr>
      <w:keepNext/>
      <w:keepLines/>
      <w:numPr>
        <w:ilvl w:val="1"/>
        <w:numId w:val="3"/>
      </w:numPr>
      <w:tabs>
        <w:tab w:val="num" w:pos="283"/>
        <w:tab w:val="num" w:pos="567"/>
      </w:tabs>
      <w:spacing w:after="120"/>
      <w:ind w:left="283" w:hanging="283"/>
      <w:outlineLvl w:val="1"/>
    </w:pPr>
    <w:rPr>
      <w:b/>
    </w:rPr>
  </w:style>
  <w:style w:type="paragraph" w:styleId="berschrift3">
    <w:name w:val="heading 3"/>
    <w:basedOn w:val="Standard"/>
    <w:next w:val="Standard"/>
    <w:link w:val="berschrift3Zchn"/>
    <w:uiPriority w:val="9"/>
    <w:pPr>
      <w:keepNext/>
      <w:numPr>
        <w:ilvl w:val="2"/>
        <w:numId w:val="3"/>
      </w:numPr>
      <w:tabs>
        <w:tab w:val="num" w:pos="283"/>
        <w:tab w:val="num" w:pos="1440"/>
      </w:tabs>
      <w:spacing w:before="240" w:after="60"/>
      <w:ind w:left="283" w:hanging="283"/>
      <w:outlineLvl w:val="2"/>
    </w:pPr>
    <w:rPr>
      <w:b/>
    </w:rPr>
  </w:style>
  <w:style w:type="paragraph" w:styleId="berschrift4">
    <w:name w:val="heading 4"/>
    <w:basedOn w:val="Standard"/>
    <w:next w:val="Text4"/>
    <w:link w:val="berschrift4Zchn"/>
    <w:uiPriority w:val="9"/>
    <w:pPr>
      <w:keepNext/>
      <w:spacing w:after="240"/>
      <w:ind w:left="1984" w:hanging="782"/>
      <w:outlineLvl w:val="3"/>
    </w:pPr>
  </w:style>
  <w:style w:type="paragraph" w:styleId="berschrift5">
    <w:name w:val="heading 5"/>
    <w:basedOn w:val="Standard"/>
    <w:next w:val="Standard"/>
    <w:link w:val="berschrift5Zchn"/>
    <w:uiPriority w:val="9"/>
    <w:pPr>
      <w:numPr>
        <w:ilvl w:val="1"/>
        <w:numId w:val="2"/>
      </w:numPr>
      <w:tabs>
        <w:tab w:val="clear" w:pos="360"/>
        <w:tab w:val="num" w:pos="0"/>
      </w:tabs>
      <w:spacing w:before="240" w:after="60"/>
      <w:ind w:left="0" w:firstLine="0"/>
      <w:outlineLvl w:val="4"/>
    </w:pPr>
    <w:rPr>
      <w:rFonts w:ascii="Arial" w:hAnsi="Arial"/>
    </w:rPr>
  </w:style>
  <w:style w:type="paragraph" w:styleId="berschrift6">
    <w:name w:val="heading 6"/>
    <w:basedOn w:val="Standard"/>
    <w:next w:val="Standard"/>
    <w:link w:val="berschrift6Zchn"/>
    <w:uiPriority w:val="9"/>
    <w:pPr>
      <w:numPr>
        <w:ilvl w:val="2"/>
        <w:numId w:val="2"/>
      </w:numPr>
      <w:tabs>
        <w:tab w:val="clear" w:pos="360"/>
        <w:tab w:val="num" w:pos="0"/>
      </w:tabs>
      <w:spacing w:before="240" w:after="60"/>
      <w:ind w:left="0" w:firstLine="0"/>
      <w:outlineLvl w:val="5"/>
    </w:pPr>
    <w:rPr>
      <w:rFonts w:ascii="Arial" w:hAnsi="Arial"/>
      <w:i/>
    </w:rPr>
  </w:style>
  <w:style w:type="paragraph" w:styleId="berschrift7">
    <w:name w:val="heading 7"/>
    <w:basedOn w:val="Standard"/>
    <w:next w:val="Standard"/>
    <w:link w:val="berschrift7Zchn"/>
    <w:uiPriority w:val="9"/>
    <w:pPr>
      <w:numPr>
        <w:ilvl w:val="6"/>
        <w:numId w:val="2"/>
      </w:numPr>
      <w:tabs>
        <w:tab w:val="clear" w:pos="360"/>
        <w:tab w:val="num" w:pos="0"/>
      </w:tabs>
      <w:spacing w:before="240" w:after="60"/>
      <w:ind w:left="0" w:firstLine="0"/>
      <w:outlineLvl w:val="6"/>
    </w:pPr>
    <w:rPr>
      <w:rFonts w:ascii="Arial" w:hAnsi="Arial"/>
      <w:sz w:val="20"/>
    </w:rPr>
  </w:style>
  <w:style w:type="paragraph" w:styleId="berschrift8">
    <w:name w:val="heading 8"/>
    <w:basedOn w:val="Standard"/>
    <w:next w:val="Standard"/>
    <w:link w:val="berschrift8Zchn"/>
    <w:uiPriority w:val="9"/>
    <w:pPr>
      <w:numPr>
        <w:ilvl w:val="7"/>
        <w:numId w:val="2"/>
      </w:numPr>
      <w:tabs>
        <w:tab w:val="clear" w:pos="360"/>
        <w:tab w:val="num" w:pos="0"/>
      </w:tabs>
      <w:spacing w:before="240" w:after="60"/>
      <w:ind w:left="0" w:firstLine="0"/>
      <w:outlineLvl w:val="7"/>
    </w:pPr>
    <w:rPr>
      <w:rFonts w:ascii="Arial" w:hAnsi="Arial"/>
      <w:i/>
      <w:sz w:val="20"/>
    </w:rPr>
  </w:style>
  <w:style w:type="paragraph" w:styleId="berschrift9">
    <w:name w:val="heading 9"/>
    <w:basedOn w:val="Standard"/>
    <w:next w:val="Standard"/>
    <w:link w:val="berschrift9Zchn"/>
    <w:uiPriority w:val="9"/>
    <w:pPr>
      <w:numPr>
        <w:ilvl w:val="8"/>
        <w:numId w:val="2"/>
      </w:numPr>
      <w:tabs>
        <w:tab w:val="clear" w:pos="360"/>
        <w:tab w:val="num" w:pos="0"/>
      </w:tabs>
      <w:spacing w:before="240" w:after="60"/>
      <w:ind w:left="0" w:firstLine="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en-US"/>
    </w:rPr>
  </w:style>
  <w:style w:type="character" w:customStyle="1" w:styleId="berschrift2Zchn">
    <w:name w:val="Überschrift 2 Zchn"/>
    <w:link w:val="berschrift2"/>
    <w:uiPriority w:val="9"/>
    <w:locked/>
    <w:rPr>
      <w:b/>
      <w:sz w:val="22"/>
      <w:lang w:eastAsia="en-US"/>
    </w:rPr>
  </w:style>
  <w:style w:type="character" w:customStyle="1" w:styleId="berschrift3Zchn">
    <w:name w:val="Überschrift 3 Zchn"/>
    <w:link w:val="berschrift3"/>
    <w:uiPriority w:val="9"/>
    <w:locked/>
    <w:rPr>
      <w:b/>
      <w:sz w:val="22"/>
      <w:lang w:eastAsia="en-US"/>
    </w:rPr>
  </w:style>
  <w:style w:type="character" w:customStyle="1" w:styleId="berschrift4Zchn">
    <w:name w:val="Überschrift 4 Zchn"/>
    <w:link w:val="berschrift4"/>
    <w:uiPriority w:val="9"/>
    <w:locked/>
    <w:rsid w:val="008109C1"/>
    <w:rPr>
      <w:rFonts w:cs="Times New Roman"/>
      <w:sz w:val="24"/>
      <w:lang w:val="x-none" w:eastAsia="en-US"/>
    </w:rPr>
  </w:style>
  <w:style w:type="character" w:customStyle="1" w:styleId="berschrift5Zchn">
    <w:name w:val="Überschrift 5 Zchn"/>
    <w:link w:val="berschrift5"/>
    <w:uiPriority w:val="9"/>
    <w:locked/>
    <w:rPr>
      <w:rFonts w:ascii="Arial" w:hAnsi="Arial"/>
      <w:sz w:val="22"/>
      <w:lang w:eastAsia="en-US"/>
    </w:rPr>
  </w:style>
  <w:style w:type="character" w:customStyle="1" w:styleId="berschrift6Zchn">
    <w:name w:val="Überschrift 6 Zchn"/>
    <w:link w:val="berschrift6"/>
    <w:uiPriority w:val="9"/>
    <w:locked/>
    <w:rPr>
      <w:rFonts w:ascii="Arial" w:hAnsi="Arial"/>
      <w:i/>
      <w:sz w:val="22"/>
      <w:lang w:eastAsia="en-US"/>
    </w:rPr>
  </w:style>
  <w:style w:type="character" w:customStyle="1" w:styleId="berschrift7Zchn">
    <w:name w:val="Überschrift 7 Zchn"/>
    <w:link w:val="berschrift7"/>
    <w:uiPriority w:val="9"/>
    <w:locked/>
    <w:rPr>
      <w:rFonts w:ascii="Arial" w:hAnsi="Arial"/>
      <w:lang w:eastAsia="en-US"/>
    </w:rPr>
  </w:style>
  <w:style w:type="character" w:customStyle="1" w:styleId="berschrift8Zchn">
    <w:name w:val="Überschrift 8 Zchn"/>
    <w:link w:val="berschrift8"/>
    <w:uiPriority w:val="9"/>
    <w:locked/>
    <w:rPr>
      <w:rFonts w:ascii="Arial" w:hAnsi="Arial"/>
      <w:i/>
      <w:lang w:eastAsia="en-US"/>
    </w:rPr>
  </w:style>
  <w:style w:type="character" w:customStyle="1" w:styleId="berschrift9Zchn">
    <w:name w:val="Überschrift 9 Zchn"/>
    <w:link w:val="berschrift9"/>
    <w:uiPriority w:val="9"/>
    <w:locked/>
    <w:rPr>
      <w:rFonts w:ascii="Arial" w:hAnsi="Arial"/>
      <w:i/>
      <w:sz w:val="18"/>
      <w:lang w:eastAsia="en-US"/>
    </w:rPr>
  </w:style>
  <w:style w:type="paragraph" w:customStyle="1" w:styleId="Text4">
    <w:name w:val="Text 4"/>
    <w:basedOn w:val="Standard"/>
    <w:pPr>
      <w:tabs>
        <w:tab w:val="left" w:pos="2302"/>
      </w:tabs>
      <w:spacing w:after="240"/>
      <w:ind w:left="1202"/>
    </w:pPr>
  </w:style>
  <w:style w:type="paragraph" w:customStyle="1" w:styleId="Application1">
    <w:name w:val="Application1"/>
    <w:basedOn w:val="berschrift1"/>
    <w:next w:val="Application2"/>
    <w:pPr>
      <w:pageBreakBefore/>
      <w:widowControl w:val="0"/>
      <w:tabs>
        <w:tab w:val="num" w:pos="360"/>
      </w:tabs>
      <w:spacing w:before="0" w:after="480"/>
      <w:ind w:left="360" w:hanging="360"/>
    </w:pPr>
    <w:rPr>
      <w:caps/>
    </w:rPr>
  </w:style>
  <w:style w:type="paragraph" w:customStyle="1" w:styleId="Application2">
    <w:name w:val="Application2"/>
    <w:basedOn w:val="Standard"/>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Standard"/>
    <w:pPr>
      <w:widowControl w:val="0"/>
      <w:numPr>
        <w:numId w:val="1"/>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tabs>
        <w:tab w:val="num" w:pos="1492"/>
      </w:tabs>
      <w:ind w:left="567"/>
    </w:pPr>
    <w:rPr>
      <w:sz w:val="20"/>
    </w:rPr>
  </w:style>
  <w:style w:type="paragraph" w:customStyle="1" w:styleId="Application5">
    <w:name w:val="Application5"/>
    <w:basedOn w:val="Application2"/>
    <w:autoRedefine/>
    <w:pPr>
      <w:tabs>
        <w:tab w:val="clear" w:pos="567"/>
        <w:tab w:val="num" w:pos="0"/>
      </w:tabs>
      <w:ind w:left="360" w:hanging="360"/>
    </w:pPr>
    <w:rPr>
      <w:sz w:val="24"/>
    </w:rPr>
  </w:style>
  <w:style w:type="paragraph" w:customStyle="1" w:styleId="NumPar4">
    <w:name w:val="NumPar 4"/>
    <w:basedOn w:val="berschrift4"/>
    <w:next w:val="Text4"/>
    <w:pPr>
      <w:keepNext w:val="0"/>
    </w:pPr>
  </w:style>
  <w:style w:type="paragraph" w:styleId="Titel">
    <w:name w:val="Title"/>
    <w:basedOn w:val="Standard"/>
    <w:next w:val="SubTitle1"/>
    <w:link w:val="TitelZchn"/>
    <w:uiPriority w:val="10"/>
    <w:pPr>
      <w:spacing w:after="480"/>
      <w:jc w:val="center"/>
    </w:pPr>
    <w:rPr>
      <w:b/>
      <w:sz w:val="48"/>
    </w:rPr>
  </w:style>
  <w:style w:type="character" w:customStyle="1" w:styleId="TitelZchn">
    <w:name w:val="Titel Zchn"/>
    <w:link w:val="Titel"/>
    <w:uiPriority w:val="10"/>
    <w:locked/>
    <w:rsid w:val="00856DC2"/>
    <w:rPr>
      <w:rFonts w:cs="Times New Roman"/>
      <w:b/>
      <w:sz w:val="48"/>
      <w:lang w:val="x-none" w:eastAsia="en-US"/>
    </w:rPr>
  </w:style>
  <w:style w:type="paragraph" w:customStyle="1" w:styleId="SubTitle1">
    <w:name w:val="SubTitle 1"/>
    <w:basedOn w:val="Standard"/>
    <w:next w:val="SubTitle2"/>
    <w:pPr>
      <w:spacing w:after="240"/>
      <w:jc w:val="center"/>
    </w:pPr>
    <w:rPr>
      <w:b/>
      <w:sz w:val="40"/>
    </w:rPr>
  </w:style>
  <w:style w:type="paragraph" w:customStyle="1" w:styleId="SubTitle2">
    <w:name w:val="SubTitle 2"/>
    <w:basedOn w:val="Standard"/>
    <w:pPr>
      <w:spacing w:after="240"/>
      <w:jc w:val="center"/>
    </w:pPr>
    <w:rPr>
      <w:b/>
      <w:sz w:val="32"/>
    </w:rPr>
  </w:style>
  <w:style w:type="paragraph" w:customStyle="1" w:styleId="PartTitle">
    <w:name w:val="PartTitle"/>
    <w:basedOn w:val="Standard"/>
    <w:next w:val="Standard"/>
    <w:pPr>
      <w:keepNext/>
      <w:pageBreakBefore/>
      <w:spacing w:after="480"/>
      <w:jc w:val="center"/>
    </w:pPr>
    <w:rPr>
      <w:b/>
      <w:sz w:val="36"/>
    </w:rPr>
  </w:style>
  <w:style w:type="paragraph" w:customStyle="1" w:styleId="SectionTitle">
    <w:name w:val="SectionTitle"/>
    <w:basedOn w:val="Standard"/>
    <w:next w:val="berschrift1"/>
    <w:pPr>
      <w:keepNext/>
      <w:spacing w:after="480"/>
      <w:jc w:val="center"/>
    </w:pPr>
    <w:rPr>
      <w:b/>
      <w:smallCaps/>
      <w:sz w:val="28"/>
    </w:rPr>
  </w:style>
  <w:style w:type="paragraph" w:styleId="Verzeichnis1">
    <w:name w:val="toc 1"/>
    <w:basedOn w:val="Standard"/>
    <w:next w:val="Standard"/>
    <w:autoRedefine/>
    <w:uiPriority w:val="39"/>
    <w:rsid w:val="006A5527"/>
    <w:pPr>
      <w:tabs>
        <w:tab w:val="left" w:pos="284"/>
        <w:tab w:val="right" w:pos="9628"/>
      </w:tabs>
      <w:spacing w:after="240"/>
      <w:ind w:left="284" w:hanging="284"/>
    </w:pPr>
    <w:rPr>
      <w:rFonts w:ascii="Times New Roman Bold" w:hAnsi="Times New Roman Bold"/>
      <w:b/>
      <w:caps/>
    </w:rPr>
  </w:style>
  <w:style w:type="paragraph" w:styleId="Verzeichnis2">
    <w:name w:val="toc 2"/>
    <w:basedOn w:val="Standard"/>
    <w:next w:val="Standard"/>
    <w:autoRedefine/>
    <w:uiPriority w:val="39"/>
    <w:rsid w:val="00EF1DCD"/>
    <w:pPr>
      <w:tabs>
        <w:tab w:val="left" w:pos="709"/>
        <w:tab w:val="right" w:leader="dot" w:pos="9628"/>
      </w:tabs>
      <w:spacing w:after="80"/>
      <w:ind w:left="709" w:hanging="425"/>
    </w:pPr>
  </w:style>
  <w:style w:type="paragraph" w:styleId="Verzeichnis3">
    <w:name w:val="toc 3"/>
    <w:basedOn w:val="Standard"/>
    <w:next w:val="Standard"/>
    <w:autoRedefine/>
    <w:uiPriority w:val="39"/>
    <w:rsid w:val="00E71360"/>
    <w:pPr>
      <w:tabs>
        <w:tab w:val="left" w:pos="1134"/>
        <w:tab w:val="right" w:leader="dot" w:pos="9628"/>
      </w:tabs>
      <w:spacing w:after="40"/>
      <w:ind w:left="1701" w:hanging="1134"/>
    </w:pPr>
    <w:rPr>
      <w:noProof/>
      <w:sz w:val="20"/>
    </w:rPr>
  </w:style>
  <w:style w:type="paragraph" w:styleId="Verzeichnis4">
    <w:name w:val="toc 4"/>
    <w:basedOn w:val="Standard"/>
    <w:next w:val="Standard"/>
    <w:autoRedefine/>
    <w:uiPriority w:val="39"/>
    <w:semiHidden/>
    <w:pPr>
      <w:ind w:left="480"/>
    </w:pPr>
    <w:rPr>
      <w:sz w:val="20"/>
    </w:rPr>
  </w:style>
  <w:style w:type="paragraph" w:customStyle="1" w:styleId="AnnexTOC">
    <w:name w:val="AnnexTOC"/>
    <w:basedOn w:val="Verzeichnis1"/>
  </w:style>
  <w:style w:type="paragraph" w:customStyle="1" w:styleId="Guidelines1">
    <w:name w:val="Guidelines 1"/>
    <w:basedOn w:val="Standard"/>
    <w:autoRedefine/>
    <w:qFormat/>
    <w:rsid w:val="008F411B"/>
    <w:pPr>
      <w:widowControl w:val="0"/>
      <w:tabs>
        <w:tab w:val="num" w:pos="1492"/>
      </w:tabs>
      <w:spacing w:before="360" w:after="120" w:line="240" w:lineRule="atLeast"/>
      <w:ind w:left="567" w:hanging="567"/>
    </w:pPr>
    <w:rPr>
      <w:b/>
      <w:caps/>
      <w:sz w:val="28"/>
      <w:szCs w:val="28"/>
    </w:rPr>
  </w:style>
  <w:style w:type="paragraph" w:customStyle="1" w:styleId="Guidelines2">
    <w:name w:val="Guidelines 2"/>
    <w:basedOn w:val="Standard"/>
    <w:next w:val="Standard"/>
    <w:autoRedefine/>
    <w:qFormat/>
    <w:rsid w:val="008F411B"/>
    <w:pPr>
      <w:numPr>
        <w:ilvl w:val="1"/>
        <w:numId w:val="5"/>
      </w:numPr>
      <w:tabs>
        <w:tab w:val="clear" w:pos="360"/>
      </w:tabs>
      <w:spacing w:before="240" w:after="120" w:line="240" w:lineRule="atLeast"/>
      <w:ind w:left="567" w:hanging="567"/>
      <w:outlineLvl w:val="0"/>
    </w:pPr>
    <w:rPr>
      <w:rFonts w:ascii="Times New Roman Bold" w:hAnsi="Times New Roman Bold"/>
      <w:b/>
      <w:smallCaps/>
      <w:sz w:val="24"/>
    </w:rPr>
  </w:style>
  <w:style w:type="paragraph" w:customStyle="1" w:styleId="Text1">
    <w:name w:val="Text 1"/>
    <w:basedOn w:val="Standard"/>
    <w:pPr>
      <w:spacing w:after="240"/>
      <w:ind w:left="482"/>
    </w:pPr>
  </w:style>
  <w:style w:type="paragraph" w:customStyle="1" w:styleId="Guidelines3">
    <w:name w:val="Guidelines 3"/>
    <w:basedOn w:val="Standard"/>
    <w:next w:val="Standard"/>
    <w:autoRedefine/>
    <w:qFormat/>
    <w:rsid w:val="008F411B"/>
    <w:pPr>
      <w:keepNext/>
      <w:numPr>
        <w:ilvl w:val="2"/>
        <w:numId w:val="5"/>
      </w:numPr>
      <w:tabs>
        <w:tab w:val="clear" w:pos="360"/>
        <w:tab w:val="left" w:pos="900"/>
      </w:tabs>
      <w:spacing w:before="240" w:after="120" w:line="240" w:lineRule="atLeast"/>
      <w:ind w:left="851" w:hanging="851"/>
    </w:pPr>
    <w:rPr>
      <w:b/>
      <w:iCs/>
      <w:sz w:val="24"/>
    </w:rPr>
  </w:style>
  <w:style w:type="paragraph" w:customStyle="1" w:styleId="Text2">
    <w:name w:val="Text 2"/>
    <w:basedOn w:val="Standard"/>
    <w:pPr>
      <w:tabs>
        <w:tab w:val="left" w:pos="2161"/>
      </w:tabs>
      <w:spacing w:after="240"/>
      <w:ind w:left="1202"/>
    </w:pPr>
  </w:style>
  <w:style w:type="paragraph" w:customStyle="1" w:styleId="p3">
    <w:name w:val="p3"/>
    <w:basedOn w:val="Standard"/>
    <w:pPr>
      <w:widowControl w:val="0"/>
      <w:tabs>
        <w:tab w:val="left" w:pos="1420"/>
      </w:tabs>
      <w:spacing w:line="260" w:lineRule="atLeast"/>
      <w:ind w:left="360"/>
    </w:pPr>
  </w:style>
  <w:style w:type="paragraph" w:customStyle="1" w:styleId="Guidelines4">
    <w:name w:val="Guidelines 4"/>
    <w:basedOn w:val="Standard"/>
    <w:next w:val="Standard"/>
    <w:autoRedefine/>
    <w:rsid w:val="00491F8A"/>
    <w:pPr>
      <w:spacing w:before="240" w:after="240"/>
    </w:pPr>
    <w:rPr>
      <w:b/>
      <w:sz w:val="24"/>
    </w:rPr>
  </w:style>
  <w:style w:type="character" w:styleId="Hyperlink">
    <w:name w:val="Hyperlink"/>
    <w:uiPriority w:val="99"/>
    <w:rPr>
      <w:rFonts w:cs="Times New Roman"/>
      <w:color w:val="0000FF"/>
      <w:u w:val="single"/>
    </w:rPr>
  </w:style>
  <w:style w:type="paragraph" w:customStyle="1" w:styleId="References">
    <w:name w:val="References"/>
    <w:basedOn w:val="Standard"/>
    <w:next w:val="Standard"/>
    <w:pPr>
      <w:spacing w:after="240"/>
      <w:ind w:left="5103"/>
    </w:pPr>
    <w:rPr>
      <w:sz w:val="20"/>
    </w:rPr>
  </w:style>
  <w:style w:type="paragraph" w:styleId="Funotentext">
    <w:name w:val="footnote text"/>
    <w:aliases w:val="Fußnotentextf,Fuﬂnotentextf,Footnote Text Blue,Geneva 9,Font: Geneva 9,Boston 10,f,Podrozdział,Footnote Text Char Char Char Char Char Char,Tekst przypisu,Footnote Text Char Char Char,Footnote,Footnote Text Char1 Char,fn,ft"/>
    <w:basedOn w:val="Standard"/>
    <w:link w:val="FunotentextZchn"/>
    <w:autoRedefine/>
    <w:uiPriority w:val="99"/>
    <w:qFormat/>
    <w:rsid w:val="001417D6"/>
    <w:pPr>
      <w:spacing w:after="0"/>
      <w:ind w:left="284" w:hanging="284"/>
    </w:pPr>
    <w:rPr>
      <w:sz w:val="20"/>
    </w:rPr>
  </w:style>
  <w:style w:type="character" w:customStyle="1" w:styleId="FunotentextZchn">
    <w:name w:val="Fußnotentext Zchn"/>
    <w:aliases w:val="Fußnotentextf Zchn,Fuﬂnotentextf Zchn,Footnote Text Blue Zchn,Geneva 9 Zchn,Font: Geneva 9 Zchn,Boston 10 Zchn,f Zchn,Podrozdział Zchn,Footnote Text Char Char Char Char Char Char Zchn,Tekst przypisu Zchn,Footnote Zchn,fn Zchn,ft Zchn"/>
    <w:link w:val="Funotentext"/>
    <w:uiPriority w:val="99"/>
    <w:locked/>
    <w:rsid w:val="001417D6"/>
    <w:rPr>
      <w:rFonts w:cs="Times New Roman"/>
      <w:lang w:val="en-GB" w:eastAsia="en-US"/>
    </w:rPr>
  </w:style>
  <w:style w:type="paragraph" w:styleId="Kopfzeile">
    <w:name w:val="header"/>
    <w:basedOn w:val="Standard"/>
    <w:link w:val="KopfzeileZchn"/>
    <w:uiPriority w:val="99"/>
    <w:pPr>
      <w:tabs>
        <w:tab w:val="center" w:pos="4153"/>
        <w:tab w:val="right" w:pos="8306"/>
      </w:tabs>
      <w:spacing w:after="240"/>
    </w:pPr>
  </w:style>
  <w:style w:type="character" w:customStyle="1" w:styleId="KopfzeileZchn">
    <w:name w:val="Kopfzeile Zchn"/>
    <w:link w:val="Kopfzeile"/>
    <w:uiPriority w:val="99"/>
    <w:semiHidden/>
    <w:locked/>
    <w:rPr>
      <w:rFonts w:cs="Times New Roman"/>
      <w:sz w:val="22"/>
      <w:lang w:val="x-none" w:eastAsia="en-US"/>
    </w:rPr>
  </w:style>
  <w:style w:type="character" w:styleId="Seitenzahl">
    <w:name w:val="page number"/>
    <w:uiPriority w:val="99"/>
    <w:rPr>
      <w:rFonts w:cs="Times New Roman"/>
    </w:rPr>
  </w:style>
  <w:style w:type="paragraph" w:styleId="Fuzeile">
    <w:name w:val="footer"/>
    <w:basedOn w:val="Standard"/>
    <w:link w:val="FuzeileZchn"/>
    <w:uiPriority w:val="99"/>
    <w:pPr>
      <w:ind w:right="-567"/>
    </w:pPr>
    <w:rPr>
      <w:rFonts w:ascii="Arial" w:hAnsi="Arial"/>
      <w:sz w:val="16"/>
    </w:rPr>
  </w:style>
  <w:style w:type="character" w:customStyle="1" w:styleId="FuzeileZchn">
    <w:name w:val="Fußzeile Zchn"/>
    <w:link w:val="Fuzeile"/>
    <w:uiPriority w:val="99"/>
    <w:locked/>
    <w:rsid w:val="00856DC2"/>
    <w:rPr>
      <w:rFonts w:ascii="Arial" w:hAnsi="Arial" w:cs="Times New Roman"/>
      <w:sz w:val="16"/>
      <w:lang w:val="x-none" w:eastAsia="en-US"/>
    </w:rPr>
  </w:style>
  <w:style w:type="paragraph" w:customStyle="1" w:styleId="Style0">
    <w:name w:val="Style0"/>
    <w:rPr>
      <w:rFonts w:ascii="Arial" w:hAnsi="Arial"/>
      <w:sz w:val="24"/>
      <w:lang w:val="en-US" w:eastAsia="en-US"/>
    </w:rPr>
  </w:style>
  <w:style w:type="paragraph" w:customStyle="1" w:styleId="Text3">
    <w:name w:val="Text 3"/>
    <w:basedOn w:val="Standard"/>
    <w:pPr>
      <w:tabs>
        <w:tab w:val="left" w:pos="2302"/>
      </w:tabs>
      <w:spacing w:after="240"/>
      <w:ind w:left="1202"/>
    </w:pPr>
  </w:style>
  <w:style w:type="paragraph" w:styleId="Textkrper-Zeileneinzug">
    <w:name w:val="Body Text Indent"/>
    <w:basedOn w:val="Standard"/>
    <w:link w:val="Textkrper-ZeileneinzugZchn"/>
    <w:uiPriority w:val="99"/>
  </w:style>
  <w:style w:type="character" w:customStyle="1" w:styleId="Textkrper-ZeileneinzugZchn">
    <w:name w:val="Textkörper-Zeileneinzug Zchn"/>
    <w:link w:val="Textkrper-Zeileneinzug"/>
    <w:uiPriority w:val="99"/>
    <w:locked/>
    <w:rsid w:val="0090351E"/>
    <w:rPr>
      <w:rFonts w:cs="Times New Roman"/>
      <w:sz w:val="24"/>
      <w:lang w:val="x-none" w:eastAsia="en-US"/>
    </w:rPr>
  </w:style>
  <w:style w:type="paragraph" w:styleId="Verzeichnis5">
    <w:name w:val="toc 5"/>
    <w:basedOn w:val="Standard"/>
    <w:next w:val="Standard"/>
    <w:autoRedefine/>
    <w:uiPriority w:val="39"/>
    <w:pPr>
      <w:ind w:left="720"/>
    </w:pPr>
    <w:rPr>
      <w:sz w:val="20"/>
    </w:rPr>
  </w:style>
  <w:style w:type="paragraph" w:styleId="Verzeichnis6">
    <w:name w:val="toc 6"/>
    <w:basedOn w:val="Standard"/>
    <w:next w:val="Standard"/>
    <w:autoRedefine/>
    <w:uiPriority w:val="39"/>
    <w:semiHidden/>
    <w:pPr>
      <w:ind w:left="960"/>
    </w:pPr>
    <w:rPr>
      <w:sz w:val="20"/>
    </w:rPr>
  </w:style>
  <w:style w:type="paragraph" w:styleId="Verzeichnis7">
    <w:name w:val="toc 7"/>
    <w:basedOn w:val="Standard"/>
    <w:next w:val="Standard"/>
    <w:autoRedefine/>
    <w:uiPriority w:val="39"/>
    <w:semiHidden/>
    <w:pPr>
      <w:ind w:left="1200"/>
    </w:pPr>
    <w:rPr>
      <w:sz w:val="20"/>
    </w:rPr>
  </w:style>
  <w:style w:type="paragraph" w:styleId="Verzeichnis8">
    <w:name w:val="toc 8"/>
    <w:basedOn w:val="Standard"/>
    <w:next w:val="Standard"/>
    <w:autoRedefine/>
    <w:uiPriority w:val="39"/>
    <w:semiHidden/>
    <w:pPr>
      <w:ind w:left="1440"/>
    </w:pPr>
    <w:rPr>
      <w:sz w:val="20"/>
    </w:rPr>
  </w:style>
  <w:style w:type="paragraph" w:styleId="Verzeichnis9">
    <w:name w:val="toc 9"/>
    <w:basedOn w:val="Standard"/>
    <w:next w:val="Standard"/>
    <w:autoRedefine/>
    <w:uiPriority w:val="39"/>
    <w:semiHidden/>
    <w:pPr>
      <w:ind w:left="1680"/>
    </w:pPr>
    <w:rPr>
      <w:sz w:val="20"/>
    </w:rPr>
  </w:style>
  <w:style w:type="character" w:styleId="BesuchterLink">
    <w:name w:val="FollowedHyperlink"/>
    <w:uiPriority w:val="99"/>
    <w:rPr>
      <w:rFonts w:cs="Times New Roman"/>
      <w:color w:val="800080"/>
      <w:u w:val="single"/>
    </w:rPr>
  </w:style>
  <w:style w:type="paragraph" w:customStyle="1" w:styleId="NumPar2">
    <w:name w:val="NumPar 2"/>
    <w:basedOn w:val="berschrift2"/>
    <w:next w:val="Text2"/>
    <w:pPr>
      <w:keepNext w:val="0"/>
      <w:keepLines w:val="0"/>
      <w:numPr>
        <w:ilvl w:val="0"/>
        <w:numId w:val="0"/>
      </w:numPr>
      <w:tabs>
        <w:tab w:val="num" w:pos="360"/>
      </w:tabs>
      <w:spacing w:after="240"/>
      <w:ind w:left="283" w:hanging="283"/>
      <w:outlineLvl w:val="9"/>
    </w:pPr>
    <w:rPr>
      <w:b w:val="0"/>
      <w:lang w:val="fr-FR"/>
    </w:rPr>
  </w:style>
  <w:style w:type="paragraph" w:styleId="Aufzhlungszeichen5">
    <w:name w:val="List Bullet 5"/>
    <w:basedOn w:val="Standard"/>
    <w:autoRedefine/>
    <w:uiPriority w:val="99"/>
    <w:pPr>
      <w:tabs>
        <w:tab w:val="num" w:pos="360"/>
      </w:tabs>
      <w:spacing w:after="240"/>
      <w:ind w:left="360" w:hanging="360"/>
    </w:pPr>
    <w:rPr>
      <w:lang w:val="fr-FR"/>
    </w:rPr>
  </w:style>
  <w:style w:type="paragraph" w:styleId="Aufzhlungszeichen">
    <w:name w:val="List Bullet"/>
    <w:basedOn w:val="Standard"/>
    <w:link w:val="AufzhlungszeichenZchn"/>
    <w:uiPriority w:val="99"/>
    <w:rsid w:val="00684AFF"/>
    <w:pPr>
      <w:tabs>
        <w:tab w:val="num" w:pos="567"/>
      </w:tabs>
      <w:spacing w:after="240"/>
      <w:ind w:left="567" w:hanging="283"/>
    </w:pPr>
    <w:rPr>
      <w:lang w:eastAsia="en-GB"/>
    </w:rPr>
  </w:style>
  <w:style w:type="character" w:customStyle="1" w:styleId="AufzhlungszeichenZchn">
    <w:name w:val="Aufzählungszeichen Zchn"/>
    <w:link w:val="Aufzhlungszeichen"/>
    <w:uiPriority w:val="99"/>
    <w:locked/>
    <w:rsid w:val="00CF6359"/>
    <w:rPr>
      <w:sz w:val="22"/>
      <w:lang w:val="en-GB" w:eastAsia="en-GB"/>
    </w:rPr>
  </w:style>
  <w:style w:type="paragraph" w:customStyle="1" w:styleId="TOC3">
    <w:name w:val="TOC3"/>
    <w:basedOn w:val="Standard"/>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ellenraster">
    <w:name w:val="Table Grid"/>
    <w:basedOn w:val="NormaleTabelle"/>
    <w:uiPriority w:val="39"/>
    <w:rsid w:val="008619B1"/>
    <w:pPr>
      <w:jc w:val="both"/>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link w:val="UntertitelZchn"/>
    <w:uiPriority w:val="11"/>
    <w:rsid w:val="006A7719"/>
    <w:pPr>
      <w:spacing w:before="120" w:after="120"/>
      <w:jc w:val="center"/>
    </w:pPr>
    <w:rPr>
      <w:rFonts w:ascii="Arial" w:hAnsi="Arial"/>
      <w:b/>
      <w:sz w:val="28"/>
      <w:lang w:val="fr-BE"/>
    </w:rPr>
  </w:style>
  <w:style w:type="character" w:customStyle="1" w:styleId="UntertitelZchn">
    <w:name w:val="Untertitel Zchn"/>
    <w:link w:val="Untertitel"/>
    <w:uiPriority w:val="11"/>
    <w:locked/>
    <w:rsid w:val="00EE4E75"/>
    <w:rPr>
      <w:rFonts w:ascii="Arial" w:hAnsi="Arial" w:cs="Times New Roman"/>
      <w:b/>
      <w:sz w:val="28"/>
      <w:lang w:val="fr-BE" w:eastAsia="en-US"/>
    </w:rPr>
  </w:style>
  <w:style w:type="paragraph" w:customStyle="1" w:styleId="StyleListBullet11pt">
    <w:name w:val="Style List Bullet + 11 pt"/>
    <w:basedOn w:val="Aufzhlungszeichen"/>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Kommentartext">
    <w:name w:val="annotation text"/>
    <w:basedOn w:val="Standard"/>
    <w:link w:val="KommentartextZchn"/>
    <w:uiPriority w:val="99"/>
    <w:rsid w:val="00A6227D"/>
    <w:rPr>
      <w:sz w:val="20"/>
    </w:rPr>
  </w:style>
  <w:style w:type="character" w:customStyle="1" w:styleId="KommentartextZchn">
    <w:name w:val="Kommentartext Zchn"/>
    <w:link w:val="Kommentartext"/>
    <w:uiPriority w:val="99"/>
    <w:locked/>
    <w:rsid w:val="00A6227D"/>
    <w:rPr>
      <w:rFonts w:cs="Times New Roman"/>
      <w:lang w:val="x-none" w:eastAsia="en-US"/>
    </w:rPr>
  </w:style>
  <w:style w:type="paragraph" w:styleId="Kommentarthema">
    <w:name w:val="annotation subject"/>
    <w:basedOn w:val="Standard"/>
    <w:next w:val="Kommentartext"/>
    <w:link w:val="KommentarthemaZchn"/>
    <w:uiPriority w:val="99"/>
    <w:semiHidden/>
    <w:rsid w:val="0090351E"/>
    <w:rPr>
      <w:b/>
      <w:bCs/>
      <w:sz w:val="20"/>
    </w:rPr>
  </w:style>
  <w:style w:type="character" w:customStyle="1" w:styleId="KommentarthemaZchn">
    <w:name w:val="Kommentarthema Zchn"/>
    <w:link w:val="Kommentarthema"/>
    <w:uiPriority w:val="99"/>
    <w:semiHidden/>
    <w:locked/>
    <w:rPr>
      <w:rFonts w:cs="Times New Roman"/>
      <w:b/>
      <w:bCs/>
      <w:lang w:val="x-none" w:eastAsia="en-US"/>
    </w:rPr>
  </w:style>
  <w:style w:type="character" w:customStyle="1" w:styleId="Style11pt">
    <w:name w:val="Style 11 pt"/>
    <w:rsid w:val="00B41A93"/>
    <w:rPr>
      <w:sz w:val="22"/>
    </w:rPr>
  </w:style>
  <w:style w:type="paragraph" w:customStyle="1" w:styleId="ListDash">
    <w:name w:val="List Dash"/>
    <w:basedOn w:val="Standard"/>
    <w:rsid w:val="00B17D2F"/>
    <w:pPr>
      <w:tabs>
        <w:tab w:val="num" w:pos="283"/>
        <w:tab w:val="num" w:pos="567"/>
      </w:tabs>
      <w:spacing w:after="240"/>
      <w:ind w:left="283" w:hanging="283"/>
    </w:pPr>
    <w:rPr>
      <w:lang w:val="fr-FR"/>
    </w:rPr>
  </w:style>
  <w:style w:type="paragraph" w:customStyle="1" w:styleId="Style11ptJustifiedAfter6pt">
    <w:name w:val="Style 11 pt Justified After:  6 pt"/>
    <w:basedOn w:val="Standard"/>
    <w:rsid w:val="0022128C"/>
    <w:pPr>
      <w:spacing w:after="120"/>
    </w:pPr>
    <w:rPr>
      <w:szCs w:val="22"/>
      <w:lang w:eastAsia="en-GB"/>
    </w:rPr>
  </w:style>
  <w:style w:type="paragraph" w:styleId="Listennummer2">
    <w:name w:val="List Number 2"/>
    <w:basedOn w:val="Text2"/>
    <w:uiPriority w:val="99"/>
    <w:rsid w:val="0022128C"/>
    <w:pPr>
      <w:tabs>
        <w:tab w:val="clear" w:pos="2161"/>
        <w:tab w:val="num" w:pos="0"/>
        <w:tab w:val="num" w:pos="1485"/>
        <w:tab w:val="num" w:pos="1911"/>
      </w:tabs>
      <w:ind w:left="1911" w:hanging="709"/>
    </w:pPr>
  </w:style>
  <w:style w:type="paragraph" w:customStyle="1" w:styleId="ListNumber2Level2">
    <w:name w:val="List Number 2 (Level 2)"/>
    <w:basedOn w:val="Text2"/>
    <w:rsid w:val="0022128C"/>
    <w:pPr>
      <w:numPr>
        <w:ilvl w:val="1"/>
        <w:numId w:val="4"/>
      </w:numPr>
      <w:tabs>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4"/>
      </w:numPr>
      <w:tabs>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4"/>
      </w:numPr>
      <w:tabs>
        <w:tab w:val="clear" w:pos="2161"/>
        <w:tab w:val="num" w:pos="1485"/>
        <w:tab w:val="num" w:pos="4037"/>
      </w:tabs>
      <w:ind w:left="4037" w:hanging="709"/>
    </w:pPr>
  </w:style>
  <w:style w:type="character" w:styleId="Fett">
    <w:name w:val="Strong"/>
    <w:uiPriority w:val="22"/>
    <w:qFormat/>
    <w:rsid w:val="005D1CFA"/>
    <w:rPr>
      <w:rFonts w:cs="Times New Roman"/>
      <w:b/>
    </w:rPr>
  </w:style>
  <w:style w:type="paragraph" w:styleId="berarbeitung">
    <w:name w:val="Revision"/>
    <w:hidden/>
    <w:uiPriority w:val="99"/>
    <w:semiHidden/>
    <w:rsid w:val="008B4F07"/>
    <w:rPr>
      <w:sz w:val="24"/>
      <w:lang w:eastAsia="en-US"/>
    </w:rPr>
  </w:style>
  <w:style w:type="paragraph" w:styleId="Listenabsatz">
    <w:name w:val="List Paragraph"/>
    <w:basedOn w:val="Standard"/>
    <w:uiPriority w:val="34"/>
    <w:qFormat/>
    <w:rsid w:val="00495849"/>
    <w:pPr>
      <w:ind w:left="708"/>
    </w:pPr>
  </w:style>
  <w:style w:type="paragraph" w:styleId="RGV-berschrift">
    <w:name w:val="toa heading"/>
    <w:basedOn w:val="Standard"/>
    <w:next w:val="Standard"/>
    <w:uiPriority w:val="99"/>
    <w:rsid w:val="0021362B"/>
    <w:pPr>
      <w:spacing w:before="120"/>
    </w:pPr>
    <w:rPr>
      <w:rFonts w:ascii="Cambria" w:hAnsi="Cambria"/>
      <w:b/>
      <w:bCs/>
      <w:szCs w:val="24"/>
    </w:rPr>
  </w:style>
  <w:style w:type="character" w:styleId="Funotenzeichen">
    <w:name w:val="footnote reference"/>
    <w:link w:val="Char2"/>
    <w:uiPriority w:val="99"/>
    <w:qFormat/>
    <w:locked/>
    <w:rsid w:val="004D357E"/>
    <w:rPr>
      <w:rFonts w:cs="Times New Roman"/>
      <w:sz w:val="24"/>
      <w:vertAlign w:val="superscript"/>
    </w:rPr>
  </w:style>
  <w:style w:type="paragraph" w:styleId="Sprechblasentext">
    <w:name w:val="Balloon Text"/>
    <w:basedOn w:val="Standard"/>
    <w:link w:val="SprechblasentextZchn"/>
    <w:uiPriority w:val="99"/>
    <w:rsid w:val="00AF32BC"/>
    <w:pPr>
      <w:spacing w:after="0"/>
    </w:pPr>
    <w:rPr>
      <w:rFonts w:ascii="Tahoma" w:hAnsi="Tahoma" w:cs="Tahoma"/>
      <w:sz w:val="16"/>
      <w:szCs w:val="16"/>
    </w:rPr>
  </w:style>
  <w:style w:type="character" w:customStyle="1" w:styleId="SprechblasentextZchn">
    <w:name w:val="Sprechblasentext Zchn"/>
    <w:link w:val="Sprechblasentext"/>
    <w:uiPriority w:val="99"/>
    <w:locked/>
    <w:rsid w:val="00AF32BC"/>
    <w:rPr>
      <w:rFonts w:ascii="Tahoma" w:hAnsi="Tahoma" w:cs="Times New Roman"/>
      <w:sz w:val="16"/>
      <w:lang w:val="x-none" w:eastAsia="en-US"/>
    </w:rPr>
  </w:style>
  <w:style w:type="character" w:styleId="Kommentarzeichen">
    <w:name w:val="annotation reference"/>
    <w:uiPriority w:val="99"/>
    <w:rsid w:val="00A6227D"/>
    <w:rPr>
      <w:rFonts w:cs="Times New Roman"/>
      <w:sz w:val="16"/>
    </w:rPr>
  </w:style>
  <w:style w:type="paragraph" w:customStyle="1" w:styleId="Char2">
    <w:name w:val="Char2"/>
    <w:basedOn w:val="Standard"/>
    <w:link w:val="Funotenzeichen"/>
    <w:uiPriority w:val="99"/>
    <w:rsid w:val="00DB57AE"/>
    <w:pPr>
      <w:spacing w:before="120" w:after="160" w:line="240" w:lineRule="exact"/>
      <w:jc w:val="left"/>
    </w:pPr>
    <w:rPr>
      <w:sz w:val="24"/>
      <w:vertAlign w:val="superscript"/>
      <w:lang w:eastAsia="en-GB"/>
    </w:rPr>
  </w:style>
  <w:style w:type="paragraph" w:customStyle="1" w:styleId="Default">
    <w:name w:val="Default"/>
    <w:rsid w:val="00EE4E75"/>
    <w:pPr>
      <w:autoSpaceDE w:val="0"/>
      <w:autoSpaceDN w:val="0"/>
      <w:adjustRightInd w:val="0"/>
    </w:pPr>
    <w:rPr>
      <w:color w:val="000000"/>
      <w:sz w:val="24"/>
      <w:szCs w:val="24"/>
      <w:lang w:eastAsia="en-GB"/>
    </w:rPr>
  </w:style>
  <w:style w:type="paragraph" w:styleId="Beschriftung">
    <w:name w:val="caption"/>
    <w:basedOn w:val="Standard"/>
    <w:next w:val="Standard"/>
    <w:uiPriority w:val="35"/>
    <w:unhideWhenUsed/>
    <w:qFormat/>
    <w:rsid w:val="00A6547C"/>
    <w:rPr>
      <w:b/>
      <w:bCs/>
      <w:sz w:val="20"/>
    </w:rPr>
  </w:style>
  <w:style w:type="paragraph" w:customStyle="1" w:styleId="Normal-box">
    <w:name w:val="Normal - box"/>
    <w:basedOn w:val="Standard"/>
    <w:qFormat/>
    <w:rsid w:val="00F83818"/>
    <w:pPr>
      <w:pBdr>
        <w:top w:val="single" w:sz="4" w:space="1" w:color="auto"/>
        <w:left w:val="single" w:sz="4" w:space="4" w:color="auto"/>
        <w:bottom w:val="single" w:sz="4" w:space="1" w:color="auto"/>
        <w:right w:val="single" w:sz="4" w:space="4" w:color="auto"/>
      </w:pBdr>
      <w:autoSpaceDE w:val="0"/>
      <w:autoSpaceDN w:val="0"/>
      <w:adjustRightInd w:val="0"/>
      <w:spacing w:before="120" w:after="120"/>
    </w:pPr>
    <w:rPr>
      <w:bCs/>
      <w:lang w:val="fr-BE"/>
    </w:rPr>
  </w:style>
  <w:style w:type="character" w:customStyle="1" w:styleId="NichtaufgelsteErwhnung1">
    <w:name w:val="Nicht aufgelöste Erwähnung1"/>
    <w:uiPriority w:val="99"/>
    <w:semiHidden/>
    <w:unhideWhenUsed/>
    <w:rsid w:val="00F83818"/>
    <w:rPr>
      <w:rFonts w:cs="Times New Roman"/>
      <w:color w:val="605E5C"/>
      <w:shd w:val="clear" w:color="auto" w:fill="E1DFDD"/>
    </w:rPr>
  </w:style>
  <w:style w:type="paragraph" w:customStyle="1" w:styleId="pf0">
    <w:name w:val="pf0"/>
    <w:basedOn w:val="Standard"/>
    <w:rsid w:val="00355806"/>
    <w:pPr>
      <w:spacing w:before="100" w:beforeAutospacing="1" w:after="100" w:afterAutospacing="1"/>
    </w:pPr>
    <w:rPr>
      <w:sz w:val="24"/>
      <w:szCs w:val="24"/>
      <w:lang w:val="fr-BE" w:eastAsia="fr-BE"/>
    </w:rPr>
  </w:style>
  <w:style w:type="paragraph" w:customStyle="1" w:styleId="StyleGuidelines1After6ptLinespacingAtleast12pt">
    <w:name w:val="Style Guidelines 1 + After:  6 pt Line spacing:  At least 12 pt"/>
    <w:basedOn w:val="Guidelines1"/>
    <w:autoRedefine/>
    <w:rsid w:val="008F411B"/>
    <w:pPr>
      <w:ind w:left="284" w:hanging="284"/>
    </w:pPr>
    <w:rPr>
      <w:bCs/>
    </w:rPr>
  </w:style>
  <w:style w:type="character" w:styleId="Hervorhebung">
    <w:name w:val="Emphasis"/>
    <w:uiPriority w:val="20"/>
    <w:qFormat/>
    <w:rsid w:val="00AF4AE8"/>
    <w:rPr>
      <w:rFonts w:cs="Times New Roman"/>
      <w:i/>
    </w:rPr>
  </w:style>
  <w:style w:type="paragraph" w:styleId="StandardWeb">
    <w:name w:val="Normal (Web)"/>
    <w:basedOn w:val="Standard"/>
    <w:uiPriority w:val="99"/>
    <w:unhideWhenUsed/>
    <w:rsid w:val="0004015D"/>
    <w:pPr>
      <w:spacing w:before="100" w:beforeAutospacing="1" w:after="100" w:afterAutospacing="1"/>
      <w:jc w:val="left"/>
    </w:pPr>
    <w:rPr>
      <w:sz w:val="24"/>
      <w:szCs w:val="24"/>
      <w:lang w:eastAsia="en-GB"/>
    </w:rPr>
  </w:style>
  <w:style w:type="character" w:customStyle="1" w:styleId="normaltextrun">
    <w:name w:val="normaltextrun"/>
    <w:basedOn w:val="Absatz-Standardschriftart"/>
    <w:rsid w:val="0032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23250">
      <w:marLeft w:val="0"/>
      <w:marRight w:val="0"/>
      <w:marTop w:val="0"/>
      <w:marBottom w:val="0"/>
      <w:divBdr>
        <w:top w:val="none" w:sz="0" w:space="0" w:color="auto"/>
        <w:left w:val="none" w:sz="0" w:space="0" w:color="auto"/>
        <w:bottom w:val="none" w:sz="0" w:space="0" w:color="auto"/>
        <w:right w:val="none" w:sz="0" w:space="0" w:color="auto"/>
      </w:divBdr>
    </w:div>
    <w:div w:id="1382023251">
      <w:marLeft w:val="0"/>
      <w:marRight w:val="0"/>
      <w:marTop w:val="0"/>
      <w:marBottom w:val="0"/>
      <w:divBdr>
        <w:top w:val="none" w:sz="0" w:space="0" w:color="auto"/>
        <w:left w:val="none" w:sz="0" w:space="0" w:color="auto"/>
        <w:bottom w:val="none" w:sz="0" w:space="0" w:color="auto"/>
        <w:right w:val="none" w:sz="0" w:space="0" w:color="auto"/>
      </w:divBdr>
    </w:div>
    <w:div w:id="1382023252">
      <w:marLeft w:val="0"/>
      <w:marRight w:val="0"/>
      <w:marTop w:val="0"/>
      <w:marBottom w:val="0"/>
      <w:divBdr>
        <w:top w:val="none" w:sz="0" w:space="0" w:color="auto"/>
        <w:left w:val="none" w:sz="0" w:space="0" w:color="auto"/>
        <w:bottom w:val="none" w:sz="0" w:space="0" w:color="auto"/>
        <w:right w:val="none" w:sz="0" w:space="0" w:color="auto"/>
      </w:divBdr>
    </w:div>
    <w:div w:id="1382023253">
      <w:marLeft w:val="0"/>
      <w:marRight w:val="0"/>
      <w:marTop w:val="0"/>
      <w:marBottom w:val="0"/>
      <w:divBdr>
        <w:top w:val="none" w:sz="0" w:space="0" w:color="auto"/>
        <w:left w:val="none" w:sz="0" w:space="0" w:color="auto"/>
        <w:bottom w:val="none" w:sz="0" w:space="0" w:color="auto"/>
        <w:right w:val="none" w:sz="0" w:space="0" w:color="auto"/>
      </w:divBdr>
    </w:div>
    <w:div w:id="1382023254">
      <w:marLeft w:val="0"/>
      <w:marRight w:val="0"/>
      <w:marTop w:val="0"/>
      <w:marBottom w:val="0"/>
      <w:divBdr>
        <w:top w:val="none" w:sz="0" w:space="0" w:color="auto"/>
        <w:left w:val="none" w:sz="0" w:space="0" w:color="auto"/>
        <w:bottom w:val="none" w:sz="0" w:space="0" w:color="auto"/>
        <w:right w:val="none" w:sz="0" w:space="0" w:color="auto"/>
      </w:divBdr>
    </w:div>
    <w:div w:id="1382023255">
      <w:marLeft w:val="0"/>
      <w:marRight w:val="0"/>
      <w:marTop w:val="0"/>
      <w:marBottom w:val="0"/>
      <w:divBdr>
        <w:top w:val="none" w:sz="0" w:space="0" w:color="auto"/>
        <w:left w:val="none" w:sz="0" w:space="0" w:color="auto"/>
        <w:bottom w:val="none" w:sz="0" w:space="0" w:color="auto"/>
        <w:right w:val="none" w:sz="0" w:space="0" w:color="auto"/>
      </w:divBdr>
    </w:div>
    <w:div w:id="1382023256">
      <w:marLeft w:val="0"/>
      <w:marRight w:val="0"/>
      <w:marTop w:val="0"/>
      <w:marBottom w:val="0"/>
      <w:divBdr>
        <w:top w:val="none" w:sz="0" w:space="0" w:color="auto"/>
        <w:left w:val="none" w:sz="0" w:space="0" w:color="auto"/>
        <w:bottom w:val="none" w:sz="0" w:space="0" w:color="auto"/>
        <w:right w:val="none" w:sz="0" w:space="0" w:color="auto"/>
      </w:divBdr>
    </w:div>
    <w:div w:id="1382023257">
      <w:marLeft w:val="0"/>
      <w:marRight w:val="0"/>
      <w:marTop w:val="0"/>
      <w:marBottom w:val="0"/>
      <w:divBdr>
        <w:top w:val="none" w:sz="0" w:space="0" w:color="auto"/>
        <w:left w:val="none" w:sz="0" w:space="0" w:color="auto"/>
        <w:bottom w:val="none" w:sz="0" w:space="0" w:color="auto"/>
        <w:right w:val="none" w:sz="0" w:space="0" w:color="auto"/>
      </w:divBdr>
    </w:div>
    <w:div w:id="1382023258">
      <w:marLeft w:val="0"/>
      <w:marRight w:val="0"/>
      <w:marTop w:val="0"/>
      <w:marBottom w:val="0"/>
      <w:divBdr>
        <w:top w:val="none" w:sz="0" w:space="0" w:color="auto"/>
        <w:left w:val="none" w:sz="0" w:space="0" w:color="auto"/>
        <w:bottom w:val="none" w:sz="0" w:space="0" w:color="auto"/>
        <w:right w:val="none" w:sz="0" w:space="0" w:color="auto"/>
      </w:divBdr>
    </w:div>
    <w:div w:id="1382023259">
      <w:marLeft w:val="0"/>
      <w:marRight w:val="0"/>
      <w:marTop w:val="0"/>
      <w:marBottom w:val="0"/>
      <w:divBdr>
        <w:top w:val="none" w:sz="0" w:space="0" w:color="auto"/>
        <w:left w:val="none" w:sz="0" w:space="0" w:color="auto"/>
        <w:bottom w:val="none" w:sz="0" w:space="0" w:color="auto"/>
        <w:right w:val="none" w:sz="0" w:space="0" w:color="auto"/>
      </w:divBdr>
    </w:div>
    <w:div w:id="1382023260">
      <w:marLeft w:val="0"/>
      <w:marRight w:val="0"/>
      <w:marTop w:val="0"/>
      <w:marBottom w:val="0"/>
      <w:divBdr>
        <w:top w:val="none" w:sz="0" w:space="0" w:color="auto"/>
        <w:left w:val="none" w:sz="0" w:space="0" w:color="auto"/>
        <w:bottom w:val="none" w:sz="0" w:space="0" w:color="auto"/>
        <w:right w:val="none" w:sz="0" w:space="0" w:color="auto"/>
      </w:divBdr>
    </w:div>
    <w:div w:id="1382023261">
      <w:marLeft w:val="0"/>
      <w:marRight w:val="0"/>
      <w:marTop w:val="0"/>
      <w:marBottom w:val="0"/>
      <w:divBdr>
        <w:top w:val="none" w:sz="0" w:space="0" w:color="auto"/>
        <w:left w:val="none" w:sz="0" w:space="0" w:color="auto"/>
        <w:bottom w:val="none" w:sz="0" w:space="0" w:color="auto"/>
        <w:right w:val="none" w:sz="0" w:space="0" w:color="auto"/>
      </w:divBdr>
    </w:div>
    <w:div w:id="1382023262">
      <w:marLeft w:val="0"/>
      <w:marRight w:val="0"/>
      <w:marTop w:val="0"/>
      <w:marBottom w:val="0"/>
      <w:divBdr>
        <w:top w:val="none" w:sz="0" w:space="0" w:color="auto"/>
        <w:left w:val="none" w:sz="0" w:space="0" w:color="auto"/>
        <w:bottom w:val="none" w:sz="0" w:space="0" w:color="auto"/>
        <w:right w:val="none" w:sz="0" w:space="0" w:color="auto"/>
      </w:divBdr>
    </w:div>
    <w:div w:id="1382023263">
      <w:marLeft w:val="0"/>
      <w:marRight w:val="0"/>
      <w:marTop w:val="0"/>
      <w:marBottom w:val="0"/>
      <w:divBdr>
        <w:top w:val="none" w:sz="0" w:space="0" w:color="auto"/>
        <w:left w:val="none" w:sz="0" w:space="0" w:color="auto"/>
        <w:bottom w:val="none" w:sz="0" w:space="0" w:color="auto"/>
        <w:right w:val="none" w:sz="0" w:space="0" w:color="auto"/>
      </w:divBdr>
    </w:div>
    <w:div w:id="1382023264">
      <w:marLeft w:val="0"/>
      <w:marRight w:val="0"/>
      <w:marTop w:val="0"/>
      <w:marBottom w:val="0"/>
      <w:divBdr>
        <w:top w:val="none" w:sz="0" w:space="0" w:color="auto"/>
        <w:left w:val="none" w:sz="0" w:space="0" w:color="auto"/>
        <w:bottom w:val="none" w:sz="0" w:space="0" w:color="auto"/>
        <w:right w:val="none" w:sz="0" w:space="0" w:color="auto"/>
      </w:divBdr>
    </w:div>
    <w:div w:id="1382023265">
      <w:marLeft w:val="0"/>
      <w:marRight w:val="0"/>
      <w:marTop w:val="0"/>
      <w:marBottom w:val="0"/>
      <w:divBdr>
        <w:top w:val="none" w:sz="0" w:space="0" w:color="auto"/>
        <w:left w:val="none" w:sz="0" w:space="0" w:color="auto"/>
        <w:bottom w:val="none" w:sz="0" w:space="0" w:color="auto"/>
        <w:right w:val="none" w:sz="0" w:space="0" w:color="auto"/>
      </w:divBdr>
    </w:div>
    <w:div w:id="1382023266">
      <w:marLeft w:val="0"/>
      <w:marRight w:val="0"/>
      <w:marTop w:val="0"/>
      <w:marBottom w:val="0"/>
      <w:divBdr>
        <w:top w:val="none" w:sz="0" w:space="0" w:color="auto"/>
        <w:left w:val="none" w:sz="0" w:space="0" w:color="auto"/>
        <w:bottom w:val="none" w:sz="0" w:space="0" w:color="auto"/>
        <w:right w:val="none" w:sz="0" w:space="0" w:color="auto"/>
      </w:divBdr>
    </w:div>
    <w:div w:id="1382023267">
      <w:marLeft w:val="0"/>
      <w:marRight w:val="0"/>
      <w:marTop w:val="0"/>
      <w:marBottom w:val="0"/>
      <w:divBdr>
        <w:top w:val="none" w:sz="0" w:space="0" w:color="auto"/>
        <w:left w:val="none" w:sz="0" w:space="0" w:color="auto"/>
        <w:bottom w:val="none" w:sz="0" w:space="0" w:color="auto"/>
        <w:right w:val="none" w:sz="0" w:space="0" w:color="auto"/>
      </w:divBdr>
    </w:div>
    <w:div w:id="1382023268">
      <w:marLeft w:val="0"/>
      <w:marRight w:val="0"/>
      <w:marTop w:val="0"/>
      <w:marBottom w:val="0"/>
      <w:divBdr>
        <w:top w:val="none" w:sz="0" w:space="0" w:color="auto"/>
        <w:left w:val="none" w:sz="0" w:space="0" w:color="auto"/>
        <w:bottom w:val="none" w:sz="0" w:space="0" w:color="auto"/>
        <w:right w:val="none" w:sz="0" w:space="0" w:color="auto"/>
      </w:divBdr>
    </w:div>
    <w:div w:id="1382023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europa.eu/international-partnerships/comm-visibility-requirements_en" TargetMode="External"/><Relationship Id="rId26" Type="http://schemas.openxmlformats.org/officeDocument/2006/relationships/hyperlink" Target="http://www.timeanddate.com/worldclock/converter.html" TargetMode="External"/><Relationship Id="rId39" Type="http://schemas.openxmlformats.org/officeDocument/2006/relationships/hyperlink" Target="https://ec.europa.eu/international-partnerships/home_fr" TargetMode="External"/><Relationship Id="rId21" Type="http://schemas.openxmlformats.org/officeDocument/2006/relationships/hyperlink" Target="https://ec.europa.eu/info/funding-tenders/opportunities/portal/screen/how-to-participate/participant-register" TargetMode="External"/><Relationship Id="rId34" Type="http://schemas.openxmlformats.org/officeDocument/2006/relationships/hyperlink" Target="https://ec.europa.eu/international-partnerships/home_fr" TargetMode="External"/><Relationship Id="rId42" Type="http://schemas.openxmlformats.org/officeDocument/2006/relationships/hyperlink" Target="https://international-partnerships.ec.europa.eu/funding/guidelines/managing-project/diem-rates_en" TargetMode="External"/><Relationship Id="rId47" Type="http://schemas.openxmlformats.org/officeDocument/2006/relationships/hyperlink" Target="https://commission.europa.eu/strategy-and-policy/eu-budget/how-it-works/annual-lifecycle/implementation/anti-fraud-measures/edes_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eas.europa.eu/sites/default/files/documents/2024/EU_roadmap_for_engagement_with_csos_Moldova.pdf" TargetMode="External"/><Relationship Id="rId29" Type="http://schemas.openxmlformats.org/officeDocument/2006/relationships/hyperlink" Target="https://ec.europa.eu/info/funding-tenders/opportunities/portal/screen/home%20" TargetMode="External"/><Relationship Id="rId11" Type="http://schemas.openxmlformats.org/officeDocument/2006/relationships/hyperlink" Target="https://wikis.ec.europa.eu/display/ExactExternalWiki/Manual+for+Applicants+-+e-Calls+PROSPECT" TargetMode="External"/><Relationship Id="rId24" Type="http://schemas.openxmlformats.org/officeDocument/2006/relationships/hyperlink" Target="https://ec.europa.eu/budget/financial-transparency-system/index.html" TargetMode="External"/><Relationship Id="rId32" Type="http://schemas.openxmlformats.org/officeDocument/2006/relationships/hyperlink" Target="https://webgate.ec.europa.eu/prospect" TargetMode="External"/><Relationship Id="rId37" Type="http://schemas.openxmlformats.org/officeDocument/2006/relationships/hyperlink" Target="mailto:ec-external-relations-application-support@ec.europa.eu" TargetMode="External"/><Relationship Id="rId40" Type="http://schemas.openxmlformats.org/officeDocument/2006/relationships/hyperlink" Target="https://ec.europa.eu/info/funding-tenders/opportunities/portal/screen/home%20" TargetMode="External"/><Relationship Id="rId45" Type="http://schemas.openxmlformats.org/officeDocument/2006/relationships/hyperlink" Target="https://wikis.ec.europa.eu/pages/viewpage.action?pageId=4816923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 TargetMode="External"/><Relationship Id="rId28" Type="http://schemas.openxmlformats.org/officeDocument/2006/relationships/hyperlink" Target="https://ec.europa.eu/international-partnerships/home_fr" TargetMode="External"/><Relationship Id="rId36" Type="http://schemas.openxmlformats.org/officeDocument/2006/relationships/hyperlink" Target="https://www.eeas.europa.eu/delegations/moldova_en?s=223" TargetMode="External"/><Relationship Id="rId49" Type="http://schemas.openxmlformats.org/officeDocument/2006/relationships/theme" Target="theme/theme1.xml"/><Relationship Id="rId10" Type="http://schemas.openxmlformats.org/officeDocument/2006/relationships/hyperlink" Target="mailto:Delegation-Moldova-Operations@eeas.europa.eu" TargetMode="External"/><Relationship Id="rId19" Type="http://schemas.openxmlformats.org/officeDocument/2006/relationships/hyperlink" Target="https://webgate.ec.europa.eu/pador" TargetMode="External"/><Relationship Id="rId31" Type="http://schemas.openxmlformats.org/officeDocument/2006/relationships/hyperlink" Target="mailto:" TargetMode="External"/><Relationship Id="rId44" Type="http://schemas.openxmlformats.org/officeDocument/2006/relationships/hyperlink" Target="https://ec.europa.eu/international-partnerships/funding/managing-project_en" TargetMode="External"/><Relationship Id="rId4" Type="http://schemas.openxmlformats.org/officeDocument/2006/relationships/settings" Target="settings.xml"/><Relationship Id="rId9" Type="http://schemas.openxmlformats.org/officeDocument/2006/relationships/hyperlink" Target="http://www.timeanddate.com/worldclock/converter.html" TargetMode="External"/><Relationship Id="rId14" Type="http://schemas.openxmlformats.org/officeDocument/2006/relationships/footer" Target="footer2.xml"/><Relationship Id="rId22" Type="http://schemas.openxmlformats.org/officeDocument/2006/relationships/hyperlink" Target="mailto:ec-external-relations-application-support@ec.europa.eu" TargetMode="External"/><Relationship Id="rId27" Type="http://schemas.openxmlformats.org/officeDocument/2006/relationships/hyperlink" Target="mailto:delegation-moldova-procurement@eeas.europa.eu" TargetMode="External"/><Relationship Id="rId30" Type="http://schemas.openxmlformats.org/officeDocument/2006/relationships/hyperlink" Target="mailto:ec-external-relations-application-support@ec.europa.eu" TargetMode="External"/><Relationship Id="rId35" Type="http://schemas.openxmlformats.org/officeDocument/2006/relationships/hyperlink" Target="https://ec.europa.eu/info/funding-tenders/opportunities/portal/screen/home%20" TargetMode="External"/><Relationship Id="rId43" Type="http://schemas.openxmlformats.org/officeDocument/2006/relationships/hyperlink" Target="https://wikis.ec.europa.eu/display/ExactExternalWiki/ePRAG"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ikis.ec.europa.eu/display/ExactExternalWiki/e-Learning+Videos+-+e-Calls+PROPECT" TargetMode="External"/><Relationship Id="rId17" Type="http://schemas.openxmlformats.org/officeDocument/2006/relationships/hyperlink" Target="https://wikis.ec.europa.eu/display/ExactExternalWiki/ePRAG" TargetMode="External"/><Relationship Id="rId25" Type="http://schemas.openxmlformats.org/officeDocument/2006/relationships/hyperlink" Target="https://webgate.ec.europa.eu/prospect" TargetMode="External"/><Relationship Id="rId33" Type="http://schemas.openxmlformats.org/officeDocument/2006/relationships/hyperlink" Target="mailto:delegation-moldova-procurement@eeas.europa.eu" TargetMode="External"/><Relationship Id="rId38" Type="http://schemas.openxmlformats.org/officeDocument/2006/relationships/hyperlink" Target="mailto:" TargetMode="External"/><Relationship Id="rId46" Type="http://schemas.openxmlformats.org/officeDocument/2006/relationships/hyperlink" Target="https://ec.europa.eu/international-partnerships/financial-management-toolkit_en" TargetMode="External"/><Relationship Id="rId20" Type="http://schemas.openxmlformats.org/officeDocument/2006/relationships/hyperlink" Target="https://ec.europa.eu/info/funding-tenders/opportunities/portal/screen/how-to-participate/participant-register" TargetMode="External"/><Relationship Id="rId41" Type="http://schemas.openxmlformats.org/officeDocument/2006/relationships/hyperlink" Target="http://ec.europa.eu/budget/explained/management/protecting/protect_en.cf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 TargetMode="External"/><Relationship Id="rId2" Type="http://schemas.openxmlformats.org/officeDocument/2006/relationships/hyperlink" Target="mailto:ec-external-relations-application-support@ec.europa.eu" TargetMode="External"/><Relationship Id="rId1" Type="http://schemas.openxmlformats.org/officeDocument/2006/relationships/hyperlink" Target="http://www.timeanddate.com/worldclock/converter.html" TargetMode="External"/><Relationship Id="rId6" Type="http://schemas.openxmlformats.org/officeDocument/2006/relationships/hyperlink" Target="https://ec.europa.eu/info/funding-tenders/opportunities/docs/2021-2027/common/guidance/unit-cost-decision" TargetMode="External"/><Relationship Id="rId5" Type="http://schemas.openxmlformats.org/officeDocument/2006/relationships/hyperlink" Target="https://www.eeas.europa.eu/sites/default/files/swd_2021_186_f1_joint_staff_working_paper_en_v2_p1_1356457_0.pdf" TargetMode="External"/><Relationship Id="rId4" Type="http://schemas.openxmlformats.org/officeDocument/2006/relationships/hyperlink" Target="https://www.eeas.europa.eu/sites/default/files/jswd_structured_consultation_on_the_future_of_the_eastern_partne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1CC9-9E25-4BA6-BF88-85CEE711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13637</Words>
  <Characters>85919</Characters>
  <Application>Microsoft Office Word</Application>
  <DocSecurity>0</DocSecurity>
  <Lines>715</Lines>
  <Paragraphs>198</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99358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florean</dc:creator>
  <cp:keywords/>
  <dc:description/>
  <cp:lastModifiedBy>Hovorka Helene Hannah</cp:lastModifiedBy>
  <cp:revision>2</cp:revision>
  <cp:lastPrinted>2024-03-13T17:28:00Z</cp:lastPrinted>
  <dcterms:created xsi:type="dcterms:W3CDTF">2025-03-19T15:26:00Z</dcterms:created>
  <dcterms:modified xsi:type="dcterms:W3CDTF">2025-03-19T15:26:00Z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MSIP_Label_6bd9ddd1-4d20-43f6-abfa-fc3c07406f94_Enabled">
    <vt:lpwstr>true</vt:lpwstr>
  </property>
  <property fmtid="{D5CDD505-2E9C-101B-9397-08002B2CF9AE}" pid="6" name="MSIP_Label_6bd9ddd1-4d20-43f6-abfa-fc3c07406f94_SetDate">
    <vt:lpwstr>2023-06-20T09:10:53Z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7c6722dd-fa7d-469a-86a6-6412288c692a</vt:lpwstr>
  </property>
  <property fmtid="{D5CDD505-2E9C-101B-9397-08002B2CF9AE}" pid="11" name="MSIP_Label_6bd9ddd1-4d20-43f6-abfa-fc3c07406f94_ContentBits">
    <vt:lpwstr>0</vt:lpwstr>
  </property>
</Properties>
</file>